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4A3" w:rsidRDefault="0092633F" w:rsidP="00035DC5">
      <w:pPr>
        <w:jc w:val="left"/>
        <w:rPr>
          <w:rFonts w:ascii="Arial" w:hAnsi="Arial" w:cs="Arial"/>
          <w:b/>
          <w:sz w:val="30"/>
          <w:szCs w:val="30"/>
        </w:rPr>
      </w:pPr>
      <w:r>
        <w:rPr>
          <w:rFonts w:ascii="Arial" w:hAnsi="Arial" w:cs="Arial"/>
          <w:b/>
          <w:sz w:val="30"/>
          <w:szCs w:val="30"/>
        </w:rPr>
        <w:t xml:space="preserve">Tapu ve Kadastro Genel Müdürlüğü Mekânsal Gayrimenkul Sistemi ve Uygulamaları </w:t>
      </w:r>
    </w:p>
    <w:p w:rsidR="00035DC5" w:rsidRPr="00C301F9" w:rsidRDefault="00035DC5" w:rsidP="00035DC5">
      <w:pPr>
        <w:jc w:val="left"/>
        <w:rPr>
          <w:rFonts w:ascii="Arial" w:hAnsi="Arial" w:cs="Arial"/>
          <w:b/>
        </w:rPr>
      </w:pPr>
    </w:p>
    <w:p w:rsidR="00035DC5" w:rsidRDefault="00BD0F1B" w:rsidP="00035DC5">
      <w:pPr>
        <w:jc w:val="left"/>
        <w:rPr>
          <w:rFonts w:ascii="Arial" w:hAnsi="Arial" w:cs="Arial"/>
          <w:b/>
        </w:rPr>
      </w:pPr>
      <w:r>
        <w:rPr>
          <w:rFonts w:ascii="Arial" w:hAnsi="Arial" w:cs="Arial"/>
          <w:b/>
        </w:rPr>
        <w:t>Abdullah Burak Keser</w:t>
      </w:r>
      <w:r w:rsidRPr="00A206A9">
        <w:rPr>
          <w:rFonts w:ascii="Arial" w:hAnsi="Arial" w:cs="Arial"/>
          <w:b/>
          <w:vertAlign w:val="superscript"/>
        </w:rPr>
        <w:t>1</w:t>
      </w:r>
      <w:r w:rsidRPr="00A206A9">
        <w:rPr>
          <w:rFonts w:ascii="Arial" w:hAnsi="Arial" w:cs="Arial"/>
          <w:b/>
        </w:rPr>
        <w:t xml:space="preserve">, </w:t>
      </w:r>
      <w:r>
        <w:rPr>
          <w:rFonts w:ascii="Arial" w:hAnsi="Arial" w:cs="Arial"/>
          <w:b/>
        </w:rPr>
        <w:t>Mert Yasin Öz</w:t>
      </w:r>
      <w:r>
        <w:rPr>
          <w:rFonts w:ascii="Arial" w:hAnsi="Arial" w:cs="Arial"/>
          <w:b/>
          <w:vertAlign w:val="superscript"/>
        </w:rPr>
        <w:t>1</w:t>
      </w:r>
      <w:r w:rsidRPr="00A206A9">
        <w:rPr>
          <w:rFonts w:ascii="Arial" w:hAnsi="Arial" w:cs="Arial"/>
          <w:b/>
          <w:vertAlign w:val="superscript"/>
        </w:rPr>
        <w:t>,*</w:t>
      </w:r>
      <w:r w:rsidRPr="00861ABB">
        <w:rPr>
          <w:rFonts w:ascii="Arial" w:hAnsi="Arial" w:cs="Arial"/>
          <w:b/>
        </w:rPr>
        <w:t xml:space="preserve"> </w:t>
      </w:r>
      <w:r>
        <w:rPr>
          <w:rFonts w:ascii="Arial" w:hAnsi="Arial" w:cs="Arial"/>
          <w:b/>
        </w:rPr>
        <w:t>,Hüseyin Küçük</w:t>
      </w:r>
      <w:r>
        <w:rPr>
          <w:rFonts w:ascii="Arial" w:hAnsi="Arial" w:cs="Arial"/>
          <w:b/>
          <w:vertAlign w:val="superscript"/>
        </w:rPr>
        <w:t>1</w:t>
      </w:r>
      <w:r w:rsidRPr="00A206A9">
        <w:rPr>
          <w:rFonts w:ascii="Arial" w:hAnsi="Arial" w:cs="Arial"/>
          <w:b/>
        </w:rPr>
        <w:t>,</w:t>
      </w:r>
      <w:r>
        <w:rPr>
          <w:rFonts w:ascii="Arial" w:hAnsi="Arial" w:cs="Arial"/>
          <w:b/>
        </w:rPr>
        <w:t xml:space="preserve"> Hasan Binboğa</w:t>
      </w:r>
      <w:r>
        <w:rPr>
          <w:rFonts w:ascii="Arial" w:hAnsi="Arial" w:cs="Arial"/>
          <w:b/>
          <w:vertAlign w:val="superscript"/>
        </w:rPr>
        <w:t>1</w:t>
      </w:r>
    </w:p>
    <w:p w:rsidR="00D863FF" w:rsidRDefault="00D863FF" w:rsidP="00186117">
      <w:pPr>
        <w:rPr>
          <w:rFonts w:ascii="Arial" w:hAnsi="Arial" w:cs="Arial"/>
          <w:i/>
          <w:sz w:val="16"/>
          <w:szCs w:val="16"/>
          <w:vertAlign w:val="superscript"/>
        </w:rPr>
      </w:pPr>
    </w:p>
    <w:p w:rsidR="00035DC5" w:rsidRDefault="00A206A9" w:rsidP="00D863FF">
      <w:pPr>
        <w:jc w:val="both"/>
        <w:rPr>
          <w:rFonts w:ascii="Arial" w:hAnsi="Arial" w:cs="Arial"/>
          <w:i/>
          <w:sz w:val="16"/>
          <w:szCs w:val="16"/>
        </w:rPr>
      </w:pPr>
      <w:r>
        <w:rPr>
          <w:rFonts w:ascii="Arial" w:hAnsi="Arial" w:cs="Arial"/>
          <w:i/>
          <w:sz w:val="16"/>
          <w:szCs w:val="16"/>
          <w:vertAlign w:val="superscript"/>
        </w:rPr>
        <w:t>1</w:t>
      </w:r>
      <w:r w:rsidR="00BF28DB">
        <w:rPr>
          <w:rFonts w:ascii="Arial" w:hAnsi="Arial" w:cs="Arial"/>
          <w:i/>
          <w:sz w:val="16"/>
          <w:szCs w:val="16"/>
        </w:rPr>
        <w:t>Tapu ve Kadastro Genel Müdürlüğü, Dikmen Cad.</w:t>
      </w:r>
      <w:r w:rsidR="007C15B7">
        <w:rPr>
          <w:rFonts w:ascii="Arial" w:hAnsi="Arial" w:cs="Arial"/>
          <w:i/>
          <w:sz w:val="16"/>
          <w:szCs w:val="16"/>
        </w:rPr>
        <w:t>No:14 06100 Bakanlıklar/Ankara.</w:t>
      </w:r>
    </w:p>
    <w:p w:rsidR="00035DC5" w:rsidRPr="00A206A9" w:rsidRDefault="00035DC5" w:rsidP="00035DC5">
      <w:pPr>
        <w:jc w:val="left"/>
        <w:rPr>
          <w:rFonts w:ascii="Arial" w:hAnsi="Arial" w:cs="Arial"/>
          <w:b/>
        </w:rPr>
      </w:pPr>
      <w:bookmarkStart w:id="0" w:name="_GoBack"/>
      <w:bookmarkEnd w:id="0"/>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7C15B7" w:rsidRDefault="008C1BAC" w:rsidP="0017381E">
      <w:pPr>
        <w:jc w:val="both"/>
        <w:rPr>
          <w:rFonts w:ascii="Times New Roman" w:eastAsia="Times New Roman" w:hAnsi="Times New Roman" w:cs="Times New Roman"/>
          <w:i/>
          <w:sz w:val="18"/>
          <w:szCs w:val="18"/>
          <w:lang w:eastAsia="tr-TR"/>
        </w:rPr>
      </w:pPr>
      <w:r>
        <w:rPr>
          <w:rFonts w:ascii="Times New Roman" w:eastAsia="Times New Roman" w:hAnsi="Times New Roman" w:cs="Times New Roman"/>
          <w:i/>
          <w:sz w:val="18"/>
          <w:szCs w:val="18"/>
          <w:lang w:eastAsia="tr-TR"/>
        </w:rPr>
        <w:t xml:space="preserve">Mekânsal Gayrimenkul Sistemi (MEGSİS) sayısal olarak kadastro müdürlüklerinin yerel bilgisayarlarında yer </w:t>
      </w:r>
      <w:proofErr w:type="gramStart"/>
      <w:r>
        <w:rPr>
          <w:rFonts w:ascii="Times New Roman" w:eastAsia="Times New Roman" w:hAnsi="Times New Roman" w:cs="Times New Roman"/>
          <w:i/>
          <w:sz w:val="18"/>
          <w:szCs w:val="18"/>
          <w:lang w:eastAsia="tr-TR"/>
        </w:rPr>
        <w:t>alan .cad</w:t>
      </w:r>
      <w:proofErr w:type="gramEnd"/>
      <w:r>
        <w:rPr>
          <w:rFonts w:ascii="Times New Roman" w:eastAsia="Times New Roman" w:hAnsi="Times New Roman" w:cs="Times New Roman"/>
          <w:i/>
          <w:sz w:val="18"/>
          <w:szCs w:val="18"/>
          <w:lang w:eastAsia="tr-TR"/>
        </w:rPr>
        <w:t xml:space="preserve"> tabanlı verilerin merkezi bir sistem üzerinde toplanarak tapu bilgileri ile eşleştirilmesi ve bu bilgilere ihtiyaç duyan paydaş kurum, kuruluş ve belediyeler ile uluslararası standartlarda harita servisleri ile paylaşılması, e-Devlet kapısı üzerinden vatandaşlara sunulması amacıyla Tapu ve Kadastro Müdürlüğü tarafından projelendirilerek hazırlanmış açık kaynaklı bir uygulamadır.</w:t>
      </w:r>
    </w:p>
    <w:p w:rsidR="000B167F" w:rsidRDefault="000B167F" w:rsidP="0017381E">
      <w:pPr>
        <w:jc w:val="both"/>
        <w:rPr>
          <w:rFonts w:ascii="Times New Roman" w:eastAsia="Times New Roman" w:hAnsi="Times New Roman" w:cs="Times New Roman"/>
          <w:i/>
          <w:sz w:val="18"/>
          <w:szCs w:val="18"/>
          <w:lang w:eastAsia="tr-TR"/>
        </w:rPr>
      </w:pPr>
    </w:p>
    <w:p w:rsidR="005770D1" w:rsidRPr="00F34ED8" w:rsidRDefault="000B167F" w:rsidP="00DA211A">
      <w:pPr>
        <w:jc w:val="both"/>
        <w:rPr>
          <w:rFonts w:ascii="Times New Roman" w:eastAsia="Times New Roman" w:hAnsi="Times New Roman" w:cs="Times New Roman"/>
          <w:i/>
          <w:sz w:val="18"/>
          <w:szCs w:val="18"/>
          <w:lang w:eastAsia="tr-TR"/>
        </w:rPr>
      </w:pPr>
      <w:r>
        <w:rPr>
          <w:rFonts w:ascii="Times New Roman" w:eastAsia="Times New Roman" w:hAnsi="Times New Roman" w:cs="Times New Roman"/>
          <w:i/>
          <w:sz w:val="18"/>
          <w:szCs w:val="18"/>
          <w:lang w:eastAsia="tr-TR"/>
        </w:rPr>
        <w:t>MEGSİS kapsamında yapılan 3 ana başlık altında toplanmaktadır. i)Web tabanlı uygulama yazılımı, ii)Uluslararası standartlarda harita servisleri, iii)E-Devlet servisleri</w:t>
      </w:r>
      <w:r w:rsidR="00D421D9">
        <w:rPr>
          <w:rFonts w:ascii="Times New Roman" w:eastAsia="Times New Roman" w:hAnsi="Times New Roman" w:cs="Times New Roman"/>
          <w:i/>
          <w:sz w:val="18"/>
          <w:szCs w:val="18"/>
          <w:lang w:eastAsia="tr-TR"/>
        </w:rPr>
        <w:t>.</w:t>
      </w:r>
      <w:r w:rsidR="00DA211A">
        <w:rPr>
          <w:rFonts w:ascii="Times New Roman" w:eastAsia="Times New Roman" w:hAnsi="Times New Roman" w:cs="Times New Roman"/>
          <w:i/>
          <w:sz w:val="18"/>
          <w:szCs w:val="18"/>
          <w:lang w:eastAsia="tr-TR"/>
        </w:rPr>
        <w:t xml:space="preserve"> </w:t>
      </w:r>
      <w:r w:rsidR="00D421D9" w:rsidRPr="00F34ED8">
        <w:rPr>
          <w:rFonts w:ascii="Times New Roman" w:eastAsia="Times New Roman" w:hAnsi="Times New Roman" w:cs="Times New Roman"/>
          <w:i/>
          <w:sz w:val="18"/>
          <w:szCs w:val="18"/>
          <w:lang w:eastAsia="tr-TR"/>
        </w:rPr>
        <w:t>We</w:t>
      </w:r>
      <w:r w:rsidR="00FC594F" w:rsidRPr="00F34ED8">
        <w:rPr>
          <w:rFonts w:ascii="Times New Roman" w:eastAsia="Times New Roman" w:hAnsi="Times New Roman" w:cs="Times New Roman"/>
          <w:i/>
          <w:sz w:val="18"/>
          <w:szCs w:val="18"/>
          <w:lang w:eastAsia="tr-TR"/>
        </w:rPr>
        <w:t xml:space="preserve">b tabanlı uygulama yazılımı, uygulamanın farklı düzeylerde ve ihtiyaçlarda kullanımını sağlayan ve yöneten </w:t>
      </w:r>
      <w:proofErr w:type="spellStart"/>
      <w:r w:rsidR="00FC594F" w:rsidRPr="00F34ED8">
        <w:rPr>
          <w:rFonts w:ascii="Times New Roman" w:eastAsia="Times New Roman" w:hAnsi="Times New Roman" w:cs="Times New Roman"/>
          <w:i/>
          <w:sz w:val="18"/>
          <w:szCs w:val="18"/>
          <w:lang w:eastAsia="tr-TR"/>
        </w:rPr>
        <w:t>kimliklendirme</w:t>
      </w:r>
      <w:proofErr w:type="spellEnd"/>
      <w:r w:rsidR="00FC594F" w:rsidRPr="00F34ED8">
        <w:rPr>
          <w:rFonts w:ascii="Times New Roman" w:eastAsia="Times New Roman" w:hAnsi="Times New Roman" w:cs="Times New Roman"/>
          <w:i/>
          <w:sz w:val="18"/>
          <w:szCs w:val="18"/>
          <w:lang w:eastAsia="tr-TR"/>
        </w:rPr>
        <w:t xml:space="preserve">/yetkilendirme çatısı altında, iç ve dış kullanıcıların sisteme veri girişi, veri indirme, tapu verileri ile </w:t>
      </w:r>
      <w:proofErr w:type="gramStart"/>
      <w:r w:rsidR="00FC594F" w:rsidRPr="00F34ED8">
        <w:rPr>
          <w:rFonts w:ascii="Times New Roman" w:eastAsia="Times New Roman" w:hAnsi="Times New Roman" w:cs="Times New Roman"/>
          <w:i/>
          <w:sz w:val="18"/>
          <w:szCs w:val="18"/>
          <w:lang w:eastAsia="tr-TR"/>
        </w:rPr>
        <w:t>entegrasyon</w:t>
      </w:r>
      <w:proofErr w:type="gramEnd"/>
      <w:r w:rsidR="00FC594F" w:rsidRPr="00F34ED8">
        <w:rPr>
          <w:rFonts w:ascii="Times New Roman" w:eastAsia="Times New Roman" w:hAnsi="Times New Roman" w:cs="Times New Roman"/>
          <w:i/>
          <w:sz w:val="18"/>
          <w:szCs w:val="18"/>
          <w:lang w:eastAsia="tr-TR"/>
        </w:rPr>
        <w:t xml:space="preserve"> işlemleri ve sorgulamaları, yapılan işlerin kontrol ve takibini içeren modüllerden </w:t>
      </w:r>
      <w:r w:rsidR="00DA211A" w:rsidRPr="00F34ED8">
        <w:rPr>
          <w:rFonts w:ascii="Times New Roman" w:eastAsia="Times New Roman" w:hAnsi="Times New Roman" w:cs="Times New Roman"/>
          <w:i/>
          <w:sz w:val="18"/>
          <w:szCs w:val="18"/>
          <w:lang w:eastAsia="tr-TR"/>
        </w:rPr>
        <w:t>oluşmaktadır. Uluslararası</w:t>
      </w:r>
      <w:r w:rsidR="003C1C24" w:rsidRPr="00F34ED8">
        <w:rPr>
          <w:rFonts w:ascii="Times New Roman" w:eastAsia="Times New Roman" w:hAnsi="Times New Roman" w:cs="Times New Roman"/>
          <w:i/>
          <w:sz w:val="18"/>
          <w:szCs w:val="18"/>
          <w:lang w:eastAsia="tr-TR"/>
        </w:rPr>
        <w:t xml:space="preserve"> standartlarda harita servisleri, </w:t>
      </w:r>
      <w:r w:rsidR="005770D1" w:rsidRPr="00F34ED8">
        <w:rPr>
          <w:rFonts w:ascii="Times New Roman" w:eastAsia="Times New Roman" w:hAnsi="Times New Roman" w:cs="Times New Roman"/>
          <w:i/>
          <w:sz w:val="18"/>
          <w:szCs w:val="18"/>
          <w:lang w:eastAsia="tr-TR"/>
        </w:rPr>
        <w:t>MEGSİS kapsamında toplanan kadastro verilerinin protokoller kapsamında talep eden kurum, kuruluş ve belediyeler</w:t>
      </w:r>
      <w:r w:rsidR="00892272" w:rsidRPr="00F34ED8">
        <w:rPr>
          <w:rFonts w:ascii="Times New Roman" w:eastAsia="Times New Roman" w:hAnsi="Times New Roman" w:cs="Times New Roman"/>
          <w:i/>
          <w:sz w:val="18"/>
          <w:szCs w:val="18"/>
          <w:lang w:eastAsia="tr-TR"/>
        </w:rPr>
        <w:t xml:space="preserve"> ile standartlara ve kullanıma uygunluğu açık kaynak ve ticari ürünler ile test edilmiş bir şekilde, paylaşımı sağlanmaktadır.</w:t>
      </w:r>
      <w:r w:rsidR="00DA211A">
        <w:rPr>
          <w:rFonts w:ascii="Times New Roman" w:eastAsia="Times New Roman" w:hAnsi="Times New Roman" w:cs="Times New Roman"/>
          <w:i/>
          <w:sz w:val="18"/>
          <w:szCs w:val="18"/>
          <w:lang w:eastAsia="tr-TR"/>
        </w:rPr>
        <w:t xml:space="preserve"> </w:t>
      </w:r>
      <w:r w:rsidR="00BC2636" w:rsidRPr="00F34ED8">
        <w:rPr>
          <w:rFonts w:ascii="Times New Roman" w:eastAsia="Times New Roman" w:hAnsi="Times New Roman" w:cs="Times New Roman"/>
          <w:i/>
          <w:sz w:val="18"/>
          <w:szCs w:val="18"/>
          <w:lang w:eastAsia="tr-TR"/>
        </w:rPr>
        <w:t>E-Devlet</w:t>
      </w:r>
      <w:r w:rsidR="0093010D" w:rsidRPr="00F34ED8">
        <w:rPr>
          <w:rFonts w:ascii="Times New Roman" w:eastAsia="Times New Roman" w:hAnsi="Times New Roman" w:cs="Times New Roman"/>
          <w:i/>
          <w:sz w:val="18"/>
          <w:szCs w:val="18"/>
          <w:lang w:eastAsia="tr-TR"/>
        </w:rPr>
        <w:t xml:space="preserve"> harita</w:t>
      </w:r>
      <w:r w:rsidR="00BC2636" w:rsidRPr="00F34ED8">
        <w:rPr>
          <w:rFonts w:ascii="Times New Roman" w:eastAsia="Times New Roman" w:hAnsi="Times New Roman" w:cs="Times New Roman"/>
          <w:i/>
          <w:sz w:val="18"/>
          <w:szCs w:val="18"/>
          <w:lang w:eastAsia="tr-TR"/>
        </w:rPr>
        <w:t xml:space="preserve"> servisleri, toplanan verilerin vatandaşların bilgilendirilmesi amacıyla tapu bilgileri ile birlikte harita servisi olarak e-Devlet kapısından sunumu yapılmaktadır. Bu servisler </w:t>
      </w:r>
      <w:hyperlink r:id="rId9" w:history="1">
        <w:r w:rsidR="00BC2636" w:rsidRPr="00F34ED8">
          <w:rPr>
            <w:rStyle w:val="Kpr"/>
            <w:rFonts w:ascii="Times New Roman" w:eastAsia="Times New Roman" w:hAnsi="Times New Roman" w:cs="Times New Roman"/>
            <w:i/>
            <w:sz w:val="18"/>
            <w:szCs w:val="18"/>
            <w:lang w:eastAsia="tr-TR"/>
          </w:rPr>
          <w:t>www.turkiye.gov.tr</w:t>
        </w:r>
      </w:hyperlink>
      <w:r w:rsidR="00BC2636" w:rsidRPr="00F34ED8">
        <w:rPr>
          <w:rFonts w:ascii="Times New Roman" w:eastAsia="Times New Roman" w:hAnsi="Times New Roman" w:cs="Times New Roman"/>
          <w:i/>
          <w:sz w:val="18"/>
          <w:szCs w:val="18"/>
          <w:lang w:eastAsia="tr-TR"/>
        </w:rPr>
        <w:t xml:space="preserve"> adresinden sunulan ilk ve tek coğrafi servis olma özelliğini de taşımaktadır. </w:t>
      </w:r>
    </w:p>
    <w:p w:rsidR="00F34ED8" w:rsidRPr="00F34ED8" w:rsidRDefault="00F34ED8" w:rsidP="00F34ED8">
      <w:pPr>
        <w:pStyle w:val="ListeParagraf"/>
        <w:rPr>
          <w:rFonts w:ascii="Times New Roman" w:eastAsia="Times New Roman" w:hAnsi="Times New Roman" w:cs="Times New Roman"/>
          <w:i/>
          <w:sz w:val="18"/>
          <w:szCs w:val="18"/>
          <w:lang w:eastAsia="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05301E" w:rsidP="0017381E">
      <w:pPr>
        <w:jc w:val="both"/>
        <w:rPr>
          <w:rFonts w:ascii="Times New Roman" w:hAnsi="Times New Roman" w:cs="Times New Roman"/>
          <w:sz w:val="18"/>
          <w:szCs w:val="18"/>
          <w:lang w:eastAsia="tr-TR"/>
        </w:rPr>
      </w:pPr>
      <w:r>
        <w:rPr>
          <w:rFonts w:ascii="Times New Roman" w:hAnsi="Times New Roman" w:cs="Times New Roman"/>
          <w:sz w:val="18"/>
          <w:szCs w:val="18"/>
          <w:lang w:eastAsia="tr-TR"/>
        </w:rPr>
        <w:t xml:space="preserve">Mekânsal Gayrimenkul Sistemi, </w:t>
      </w:r>
      <w:r w:rsidR="007C4B83">
        <w:rPr>
          <w:rFonts w:ascii="Times New Roman" w:hAnsi="Times New Roman" w:cs="Times New Roman"/>
          <w:sz w:val="18"/>
          <w:szCs w:val="18"/>
          <w:lang w:eastAsia="tr-TR"/>
        </w:rPr>
        <w:t>MEGSİS</w:t>
      </w:r>
      <w:r w:rsidR="00B77A15">
        <w:rPr>
          <w:rFonts w:ascii="Times New Roman" w:hAnsi="Times New Roman" w:cs="Times New Roman"/>
          <w:sz w:val="18"/>
          <w:szCs w:val="18"/>
          <w:lang w:eastAsia="tr-TR"/>
        </w:rPr>
        <w:t xml:space="preserve">, </w:t>
      </w:r>
      <w:r w:rsidR="00206436">
        <w:rPr>
          <w:rFonts w:ascii="Times New Roman" w:hAnsi="Times New Roman" w:cs="Times New Roman"/>
          <w:sz w:val="18"/>
          <w:szCs w:val="18"/>
          <w:lang w:eastAsia="tr-TR"/>
        </w:rPr>
        <w:t xml:space="preserve">TKGM Harita </w:t>
      </w:r>
      <w:r w:rsidR="00B77A15">
        <w:rPr>
          <w:rFonts w:ascii="Times New Roman" w:hAnsi="Times New Roman" w:cs="Times New Roman"/>
          <w:sz w:val="18"/>
          <w:szCs w:val="18"/>
          <w:lang w:eastAsia="tr-TR"/>
        </w:rPr>
        <w:t>Servisler</w:t>
      </w:r>
      <w:r w:rsidR="003F472B">
        <w:rPr>
          <w:rFonts w:ascii="Times New Roman" w:hAnsi="Times New Roman" w:cs="Times New Roman"/>
          <w:sz w:val="18"/>
          <w:szCs w:val="18"/>
          <w:lang w:eastAsia="tr-TR"/>
        </w:rPr>
        <w:t>i</w:t>
      </w:r>
      <w:r w:rsidR="00206436">
        <w:rPr>
          <w:rFonts w:ascii="Times New Roman" w:hAnsi="Times New Roman" w:cs="Times New Roman"/>
          <w:sz w:val="18"/>
          <w:szCs w:val="18"/>
          <w:lang w:eastAsia="tr-TR"/>
        </w:rPr>
        <w:t xml:space="preserve">, </w:t>
      </w:r>
      <w:r>
        <w:rPr>
          <w:rFonts w:ascii="Times New Roman" w:hAnsi="Times New Roman" w:cs="Times New Roman"/>
          <w:sz w:val="18"/>
          <w:szCs w:val="18"/>
          <w:lang w:eastAsia="tr-TR"/>
        </w:rPr>
        <w:t>E-Devlet Harita Servisleri</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p>
    <w:p w:rsidR="00DA600C" w:rsidRDefault="00DA600C" w:rsidP="0085682C">
      <w:pPr>
        <w:jc w:val="both"/>
        <w:rPr>
          <w:rFonts w:ascii="Arial" w:hAnsi="Arial" w:cs="Arial"/>
        </w:rPr>
      </w:pPr>
    </w:p>
    <w:p w:rsidR="00186117" w:rsidRDefault="004A4059" w:rsidP="0085682C">
      <w:pPr>
        <w:jc w:val="both"/>
        <w:rPr>
          <w:rFonts w:ascii="Times New Roman" w:eastAsia="Times New Roman" w:hAnsi="Times New Roman" w:cs="Times New Roman"/>
          <w:sz w:val="20"/>
          <w:szCs w:val="20"/>
          <w:lang w:eastAsia="tr-TR"/>
        </w:rPr>
      </w:pPr>
      <w:r w:rsidRPr="004A4059">
        <w:rPr>
          <w:rFonts w:ascii="Times New Roman" w:eastAsia="Times New Roman" w:hAnsi="Times New Roman" w:cs="Times New Roman"/>
          <w:sz w:val="20"/>
          <w:szCs w:val="20"/>
          <w:lang w:eastAsia="tr-TR"/>
        </w:rPr>
        <w:t>Tapu ve Kadastro Genel Müdürlüğü (TKGM)</w:t>
      </w:r>
      <w:r>
        <w:rPr>
          <w:rFonts w:ascii="Times New Roman" w:eastAsia="Times New Roman" w:hAnsi="Times New Roman" w:cs="Times New Roman"/>
          <w:sz w:val="20"/>
          <w:szCs w:val="20"/>
          <w:lang w:eastAsia="tr-TR"/>
        </w:rPr>
        <w:t>, tapu ve kadastro birimleri ile FIG-Kadastro 2014 tanımlarına uygun bir şekilde aynı çatı altında</w:t>
      </w:r>
      <w:r w:rsidR="00E4436F">
        <w:rPr>
          <w:rFonts w:ascii="Times New Roman" w:eastAsia="Times New Roman" w:hAnsi="Times New Roman" w:cs="Times New Roman"/>
          <w:sz w:val="20"/>
          <w:szCs w:val="20"/>
          <w:lang w:eastAsia="tr-TR"/>
        </w:rPr>
        <w:t xml:space="preserve"> ülke geneline </w:t>
      </w:r>
      <w:r w:rsidR="000404FB">
        <w:rPr>
          <w:rFonts w:ascii="Times New Roman" w:eastAsia="Times New Roman" w:hAnsi="Times New Roman" w:cs="Times New Roman"/>
          <w:sz w:val="20"/>
          <w:szCs w:val="20"/>
          <w:lang w:eastAsia="tr-TR"/>
        </w:rPr>
        <w:t>yayılmış 957</w:t>
      </w:r>
      <w:r w:rsidR="00E4436F">
        <w:rPr>
          <w:rFonts w:ascii="Times New Roman" w:eastAsia="Times New Roman" w:hAnsi="Times New Roman" w:cs="Times New Roman"/>
          <w:sz w:val="20"/>
          <w:szCs w:val="20"/>
          <w:lang w:eastAsia="tr-TR"/>
        </w:rPr>
        <w:t xml:space="preserve"> tapu müdürlüğü ve 81 kadastro müdürlüğü ile </w:t>
      </w:r>
      <w:r w:rsidR="00186117">
        <w:rPr>
          <w:rFonts w:ascii="Times New Roman" w:eastAsia="Times New Roman" w:hAnsi="Times New Roman" w:cs="Times New Roman"/>
          <w:sz w:val="20"/>
          <w:szCs w:val="20"/>
          <w:lang w:eastAsia="tr-TR"/>
        </w:rPr>
        <w:t>sorumluluklarını yerine getiren</w:t>
      </w:r>
      <w:r>
        <w:rPr>
          <w:rFonts w:ascii="Times New Roman" w:eastAsia="Times New Roman" w:hAnsi="Times New Roman" w:cs="Times New Roman"/>
          <w:sz w:val="20"/>
          <w:szCs w:val="20"/>
          <w:lang w:eastAsia="tr-TR"/>
        </w:rPr>
        <w:t xml:space="preserve"> bir kurumdur.</w:t>
      </w:r>
    </w:p>
    <w:p w:rsidR="00E4436F" w:rsidRDefault="00E4436F" w:rsidP="00DA211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TKGM tarafından 2004 yılında başlatılan İlk Tesis Kadastrosunun Bitirilmesi Projesi ile sorunlu birimler hariç ekonomik alanların tamamının kadastro çalışmaları tamamlanmıştır. Tesis kadastrosunun tamamlanmasını takiben günün ihtiyaçlarına ve teknolojik gelişmelere paralel olarak TKGM tarafından 6083 sayılı Tapu ve Kadastro Genel Müdürlüğü Teşkilat ve Görevleri Hakkında Kanun ile yeniden yapılanma sürecine girilmiştir.</w:t>
      </w:r>
    </w:p>
    <w:p w:rsidR="00E4436F" w:rsidRDefault="00413B22" w:rsidP="00DA211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6083 sayılı Kanunda</w:t>
      </w:r>
      <w:r w:rsidR="00E4436F">
        <w:rPr>
          <w:rFonts w:ascii="Times New Roman" w:eastAsia="Times New Roman" w:hAnsi="Times New Roman" w:cs="Times New Roman"/>
          <w:sz w:val="20"/>
          <w:szCs w:val="20"/>
          <w:lang w:eastAsia="tr-TR"/>
        </w:rPr>
        <w:t xml:space="preserve"> </w:t>
      </w:r>
      <w:r w:rsidR="004F6C20">
        <w:rPr>
          <w:rFonts w:ascii="Times New Roman" w:eastAsia="Times New Roman" w:hAnsi="Times New Roman" w:cs="Times New Roman"/>
          <w:sz w:val="20"/>
          <w:szCs w:val="20"/>
          <w:lang w:eastAsia="tr-TR"/>
        </w:rPr>
        <w:t>görev ve yetkilerin tanımlandığı 2.madde</w:t>
      </w:r>
      <w:r w:rsidR="00E4436F" w:rsidRPr="00E4436F">
        <w:rPr>
          <w:rFonts w:ascii="Times New Roman" w:eastAsia="Times New Roman" w:hAnsi="Times New Roman" w:cs="Times New Roman"/>
          <w:sz w:val="20"/>
          <w:szCs w:val="20"/>
          <w:lang w:eastAsia="tr-TR"/>
        </w:rPr>
        <w:t>nin ç bendi</w:t>
      </w:r>
      <w:r w:rsidR="004F6C20">
        <w:rPr>
          <w:rFonts w:ascii="Times New Roman" w:eastAsia="Times New Roman" w:hAnsi="Times New Roman" w:cs="Times New Roman"/>
          <w:sz w:val="20"/>
          <w:szCs w:val="20"/>
          <w:lang w:eastAsia="tr-TR"/>
        </w:rPr>
        <w:t>nde</w:t>
      </w:r>
      <w:r w:rsidR="00E4436F" w:rsidRPr="00E4436F">
        <w:rPr>
          <w:rFonts w:ascii="Times New Roman" w:eastAsia="Times New Roman" w:hAnsi="Times New Roman" w:cs="Times New Roman"/>
          <w:sz w:val="20"/>
          <w:szCs w:val="20"/>
          <w:lang w:eastAsia="tr-TR"/>
        </w:rPr>
        <w:t xml:space="preserve"> “Mekânsal bilgi sistemi altyapısını ve harita üretim izleme merkezini oluşturmak, verilerden gerçek ve tüzel kişiler ile kamu kurum ve kuruluşlarının faydalanmasını sağlamak, coğrafi bilgi sistemleri konusunda verilecek görevleri </w:t>
      </w:r>
      <w:r>
        <w:rPr>
          <w:rFonts w:ascii="Times New Roman" w:eastAsia="Times New Roman" w:hAnsi="Times New Roman" w:cs="Times New Roman"/>
          <w:sz w:val="20"/>
          <w:szCs w:val="20"/>
          <w:lang w:eastAsia="tr-TR"/>
        </w:rPr>
        <w:t>yapmak.”  şeklinde yeni bir düzenleme yapılmıştır.</w:t>
      </w:r>
    </w:p>
    <w:p w:rsidR="00E4436F" w:rsidRDefault="00413B22" w:rsidP="00DA211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Bu düzenleme ile TKGM mekânsal bilgi</w:t>
      </w:r>
      <w:r w:rsidR="00C81840">
        <w:rPr>
          <w:rFonts w:ascii="Times New Roman" w:eastAsia="Times New Roman" w:hAnsi="Times New Roman" w:cs="Times New Roman"/>
          <w:sz w:val="20"/>
          <w:szCs w:val="20"/>
          <w:lang w:eastAsia="tr-TR"/>
        </w:rPr>
        <w:t xml:space="preserve"> sistemi altyapısını oluşturma</w:t>
      </w:r>
      <w:r>
        <w:rPr>
          <w:rFonts w:ascii="Times New Roman" w:eastAsia="Times New Roman" w:hAnsi="Times New Roman" w:cs="Times New Roman"/>
          <w:sz w:val="20"/>
          <w:szCs w:val="20"/>
          <w:lang w:eastAsia="tr-TR"/>
        </w:rPr>
        <w:t xml:space="preserve"> v</w:t>
      </w:r>
      <w:r w:rsidR="00C81840">
        <w:rPr>
          <w:rFonts w:ascii="Times New Roman" w:eastAsia="Times New Roman" w:hAnsi="Times New Roman" w:cs="Times New Roman"/>
          <w:sz w:val="20"/>
          <w:szCs w:val="20"/>
          <w:lang w:eastAsia="tr-TR"/>
        </w:rPr>
        <w:t xml:space="preserve">e bu altyapı içerisinde yer alan </w:t>
      </w:r>
      <w:r>
        <w:rPr>
          <w:rFonts w:ascii="Times New Roman" w:eastAsia="Times New Roman" w:hAnsi="Times New Roman" w:cs="Times New Roman"/>
          <w:sz w:val="20"/>
          <w:szCs w:val="20"/>
          <w:lang w:eastAsia="tr-TR"/>
        </w:rPr>
        <w:t>bilgileri diğer kurum ve kuruluşlar ile paylaşma işini asli görevleri arasında tanımlamıştır.</w:t>
      </w:r>
    </w:p>
    <w:p w:rsidR="00DA600C" w:rsidRDefault="00DA600C" w:rsidP="0085682C">
      <w:pPr>
        <w:jc w:val="both"/>
        <w:rPr>
          <w:rFonts w:ascii="Arial" w:hAnsi="Arial" w:cs="Arial"/>
          <w:b/>
        </w:rPr>
      </w:pPr>
    </w:p>
    <w:p w:rsidR="003164D5" w:rsidRPr="004F6F3A" w:rsidRDefault="004F6F3A" w:rsidP="004F6F3A">
      <w:pPr>
        <w:jc w:val="left"/>
        <w:rPr>
          <w:rFonts w:ascii="Arial" w:hAnsi="Arial" w:cs="Arial"/>
          <w:b/>
        </w:rPr>
      </w:pPr>
      <w:r w:rsidRPr="004F6F3A">
        <w:rPr>
          <w:rFonts w:ascii="Arial" w:hAnsi="Arial" w:cs="Arial"/>
          <w:b/>
        </w:rPr>
        <w:t>2.</w:t>
      </w:r>
      <w:r w:rsidR="00C81840" w:rsidRPr="004F6F3A">
        <w:rPr>
          <w:rFonts w:ascii="Arial" w:hAnsi="Arial" w:cs="Arial"/>
          <w:b/>
        </w:rPr>
        <w:t>Tapu ve Kadastro Bilgi Sistemi (TAKBİS)</w:t>
      </w:r>
    </w:p>
    <w:p w:rsidR="003C6042" w:rsidRPr="00C92B5D" w:rsidRDefault="003C6042" w:rsidP="003C6042">
      <w:pPr>
        <w:jc w:val="both"/>
        <w:rPr>
          <w:rFonts w:ascii="Arial" w:hAnsi="Arial" w:cs="Arial"/>
          <w:b/>
        </w:rPr>
      </w:pPr>
    </w:p>
    <w:p w:rsidR="00181C6F" w:rsidRDefault="00181C6F" w:rsidP="005D747D">
      <w:pPr>
        <w:jc w:val="both"/>
        <w:rPr>
          <w:rFonts w:ascii="Times New Roman" w:hAnsi="Times New Roman" w:cs="Times New Roman"/>
          <w:sz w:val="20"/>
          <w:szCs w:val="20"/>
          <w:lang w:eastAsia="tr-TR"/>
        </w:rPr>
      </w:pPr>
      <w:proofErr w:type="gramStart"/>
      <w:r w:rsidRPr="00181C6F">
        <w:rPr>
          <w:rFonts w:ascii="Times New Roman" w:eastAsia="Times New Roman" w:hAnsi="Times New Roman" w:cs="Times New Roman"/>
          <w:color w:val="111111"/>
          <w:sz w:val="20"/>
          <w:szCs w:val="20"/>
          <w:lang w:eastAsia="tr-TR"/>
        </w:rPr>
        <w:t xml:space="preserve">TAKBİS, ileri bilgi teknolojileri kullanılarak TKGM hizmetlerinin daha sağlıklı, süratli, güvenilir ve etkin bir şekilde plânlanması ve yönetilmesi, diğer kurum ve kuruluşlara sunduğu mülkiyete ilişkin verilerin daha yaygın bir şekilde kullanımının sağlanmasını ve bu çerçevede tapu ve kadastro çalışmalarının ve bilgilerinin “Çok Amaçlı Arazi Bilgi Sistemine” dönüştürülmesinin amaçlandığı, diğer kurum ve kuruluşlarla </w:t>
      </w:r>
      <w:r w:rsidR="004F6C20">
        <w:rPr>
          <w:rFonts w:ascii="Times New Roman" w:eastAsia="Times New Roman" w:hAnsi="Times New Roman" w:cs="Times New Roman"/>
          <w:color w:val="111111"/>
          <w:sz w:val="20"/>
          <w:szCs w:val="20"/>
          <w:lang w:eastAsia="tr-TR"/>
        </w:rPr>
        <w:t>bütünleşmiş</w:t>
      </w:r>
      <w:r w:rsidRPr="00181C6F">
        <w:rPr>
          <w:rFonts w:ascii="Times New Roman" w:eastAsia="Times New Roman" w:hAnsi="Times New Roman" w:cs="Times New Roman"/>
          <w:color w:val="111111"/>
          <w:sz w:val="20"/>
          <w:szCs w:val="20"/>
          <w:lang w:eastAsia="tr-TR"/>
        </w:rPr>
        <w:t xml:space="preserve"> olarak çoklu kullanıma sunulacağı stratejik bir “e-devlet” projesidir.</w:t>
      </w:r>
      <w:proofErr w:type="gramEnd"/>
    </w:p>
    <w:p w:rsidR="00B053C8" w:rsidRDefault="0096776E"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2002-2009 yılları arasında yapılan çalışmalar ile </w:t>
      </w:r>
      <w:r w:rsidR="0069552F">
        <w:rPr>
          <w:rFonts w:ascii="Times New Roman" w:hAnsi="Times New Roman" w:cs="Times New Roman"/>
          <w:sz w:val="20"/>
          <w:szCs w:val="20"/>
          <w:lang w:eastAsia="tr-TR"/>
        </w:rPr>
        <w:t xml:space="preserve">yaklaşık 21 milyon tapu verisi ile </w:t>
      </w:r>
      <w:r w:rsidR="000B7576">
        <w:rPr>
          <w:rFonts w:ascii="Times New Roman" w:hAnsi="Times New Roman" w:cs="Times New Roman"/>
          <w:sz w:val="20"/>
          <w:szCs w:val="20"/>
          <w:lang w:eastAsia="tr-TR"/>
        </w:rPr>
        <w:t>5,5</w:t>
      </w:r>
      <w:r w:rsidR="0069552F">
        <w:rPr>
          <w:rFonts w:ascii="Times New Roman" w:hAnsi="Times New Roman" w:cs="Times New Roman"/>
          <w:sz w:val="20"/>
          <w:szCs w:val="20"/>
          <w:lang w:eastAsia="tr-TR"/>
        </w:rPr>
        <w:t xml:space="preserve"> milyon kadastro verisinin sisteme aktarımı yapıldığı görülmektedir.</w:t>
      </w:r>
    </w:p>
    <w:p w:rsidR="0096776E" w:rsidRDefault="0096776E" w:rsidP="00B77A15">
      <w:pPr>
        <w:jc w:val="left"/>
        <w:rPr>
          <w:rFonts w:ascii="Arial" w:hAnsi="Arial" w:cs="Arial"/>
          <w:b/>
        </w:rPr>
      </w:pPr>
    </w:p>
    <w:p w:rsidR="00A62F15" w:rsidRPr="00D15CC4" w:rsidRDefault="00A62F15" w:rsidP="00A62F15">
      <w:pPr>
        <w:rPr>
          <w:rFonts w:ascii="Arial" w:hAnsi="Arial" w:cs="Arial"/>
          <w:i/>
          <w:sz w:val="18"/>
          <w:szCs w:val="18"/>
        </w:rPr>
      </w:pPr>
    </w:p>
    <w:p w:rsidR="00A62F15" w:rsidRDefault="00A62F15" w:rsidP="00B77A15">
      <w:pPr>
        <w:jc w:val="left"/>
        <w:rPr>
          <w:rFonts w:ascii="Arial" w:hAnsi="Arial" w:cs="Arial"/>
          <w:b/>
        </w:rPr>
      </w:pPr>
    </w:p>
    <w:p w:rsidR="003F7E8F" w:rsidRDefault="0096776E" w:rsidP="003F7E8F">
      <w:pPr>
        <w:rPr>
          <w:rFonts w:ascii="Arial" w:hAnsi="Arial" w:cs="Arial"/>
          <w:i/>
          <w:sz w:val="18"/>
          <w:szCs w:val="18"/>
        </w:rPr>
      </w:pPr>
      <w:r w:rsidRPr="0096776E">
        <w:rPr>
          <w:rFonts w:ascii="Arial" w:hAnsi="Arial" w:cs="Arial"/>
          <w:b/>
          <w:noProof/>
          <w:lang w:eastAsia="tr-TR"/>
        </w:rPr>
        <w:lastRenderedPageBreak/>
        <w:drawing>
          <wp:inline distT="0" distB="0" distL="0" distR="0">
            <wp:extent cx="5200650" cy="2676525"/>
            <wp:effectExtent l="0" t="0" r="1905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21FB" w:rsidRDefault="000921FB" w:rsidP="003F7E8F">
      <w:pPr>
        <w:rPr>
          <w:rFonts w:ascii="Arial" w:hAnsi="Arial" w:cs="Arial"/>
          <w:i/>
          <w:sz w:val="18"/>
          <w:szCs w:val="18"/>
        </w:rPr>
      </w:pPr>
    </w:p>
    <w:p w:rsidR="003F7E8F" w:rsidRDefault="003F7E8F" w:rsidP="003F7E8F">
      <w:pPr>
        <w:rPr>
          <w:rFonts w:ascii="Arial" w:hAnsi="Arial" w:cs="Arial"/>
          <w:i/>
          <w:sz w:val="18"/>
          <w:szCs w:val="18"/>
        </w:rPr>
      </w:pPr>
      <w:r w:rsidRPr="003F7E8F">
        <w:rPr>
          <w:rFonts w:ascii="Arial" w:hAnsi="Arial" w:cs="Arial"/>
          <w:i/>
          <w:sz w:val="18"/>
          <w:szCs w:val="18"/>
        </w:rPr>
        <w:t xml:space="preserve">Şekil 1: </w:t>
      </w:r>
      <w:r w:rsidR="0069552F">
        <w:rPr>
          <w:rFonts w:ascii="Arial" w:hAnsi="Arial" w:cs="Arial"/>
          <w:i/>
          <w:sz w:val="18"/>
          <w:szCs w:val="18"/>
        </w:rPr>
        <w:t>2002- 2009</w:t>
      </w:r>
      <w:r w:rsidR="00306E75">
        <w:rPr>
          <w:rFonts w:ascii="Arial" w:hAnsi="Arial" w:cs="Arial"/>
          <w:i/>
          <w:sz w:val="18"/>
          <w:szCs w:val="18"/>
        </w:rPr>
        <w:t xml:space="preserve"> yılları arasında yapılan otomasyon çalışmaları</w:t>
      </w:r>
    </w:p>
    <w:p w:rsidR="0069552F" w:rsidRDefault="0069552F" w:rsidP="0069552F">
      <w:pPr>
        <w:jc w:val="both"/>
        <w:rPr>
          <w:rFonts w:ascii="Arial" w:hAnsi="Arial" w:cs="Arial"/>
          <w:i/>
          <w:sz w:val="18"/>
          <w:szCs w:val="18"/>
        </w:rPr>
      </w:pPr>
    </w:p>
    <w:p w:rsidR="0069552F" w:rsidRDefault="00C51005" w:rsidP="00DA211A">
      <w:pPr>
        <w:ind w:firstLine="284"/>
        <w:jc w:val="both"/>
        <w:rPr>
          <w:rFonts w:ascii="Times New Roman" w:hAnsi="Times New Roman" w:cs="Times New Roman"/>
          <w:sz w:val="20"/>
          <w:szCs w:val="20"/>
          <w:lang w:eastAsia="tr-TR"/>
        </w:rPr>
      </w:pPr>
      <w:r w:rsidRPr="0036718A">
        <w:rPr>
          <w:rFonts w:ascii="Times New Roman" w:hAnsi="Times New Roman" w:cs="Times New Roman"/>
          <w:sz w:val="20"/>
          <w:szCs w:val="20"/>
          <w:lang w:eastAsia="tr-TR"/>
        </w:rPr>
        <w:t>Şekil 1’de görüldüğü üzere</w:t>
      </w:r>
      <w:r w:rsidR="00B90FA0" w:rsidRPr="0036718A">
        <w:rPr>
          <w:rFonts w:ascii="Times New Roman" w:hAnsi="Times New Roman" w:cs="Times New Roman"/>
          <w:sz w:val="20"/>
          <w:szCs w:val="20"/>
          <w:lang w:eastAsia="tr-TR"/>
        </w:rPr>
        <w:t xml:space="preserve"> tapu müdürlüklerinin otomasyona geçişi sağlanmış olmasına rağmen </w:t>
      </w:r>
      <w:r w:rsidRPr="0036718A">
        <w:rPr>
          <w:rFonts w:ascii="Times New Roman" w:hAnsi="Times New Roman" w:cs="Times New Roman"/>
          <w:sz w:val="20"/>
          <w:szCs w:val="20"/>
          <w:lang w:eastAsia="tr-TR"/>
        </w:rPr>
        <w:t>kadastro bilgilerinin otomasyona geçirilmesi sürecinde yaşan</w:t>
      </w:r>
      <w:r w:rsidR="00B90FA0" w:rsidRPr="0036718A">
        <w:rPr>
          <w:rFonts w:ascii="Times New Roman" w:hAnsi="Times New Roman" w:cs="Times New Roman"/>
          <w:sz w:val="20"/>
          <w:szCs w:val="20"/>
          <w:lang w:eastAsia="tr-TR"/>
        </w:rPr>
        <w:t>an teknik sıkıntılar nedeni ile istenilen sonuca ulaşılamamıştır.</w:t>
      </w:r>
      <w:r w:rsidRPr="0036718A">
        <w:rPr>
          <w:rFonts w:ascii="Times New Roman" w:hAnsi="Times New Roman" w:cs="Times New Roman"/>
          <w:sz w:val="20"/>
          <w:szCs w:val="20"/>
          <w:lang w:eastAsia="tr-TR"/>
        </w:rPr>
        <w:t xml:space="preserve"> </w:t>
      </w:r>
    </w:p>
    <w:p w:rsidR="00BC60A7" w:rsidRDefault="00BC60A7" w:rsidP="0069552F">
      <w:pPr>
        <w:jc w:val="both"/>
        <w:rPr>
          <w:rFonts w:ascii="Times New Roman" w:hAnsi="Times New Roman" w:cs="Times New Roman"/>
          <w:sz w:val="20"/>
          <w:szCs w:val="20"/>
          <w:lang w:eastAsia="tr-TR"/>
        </w:rPr>
      </w:pPr>
    </w:p>
    <w:p w:rsidR="00BC60A7" w:rsidRPr="004F6F3A" w:rsidRDefault="004F6F3A" w:rsidP="004F6F3A">
      <w:pPr>
        <w:jc w:val="left"/>
        <w:rPr>
          <w:rFonts w:ascii="Arial" w:hAnsi="Arial" w:cs="Arial"/>
          <w:b/>
        </w:rPr>
      </w:pPr>
      <w:r w:rsidRPr="004F6F3A">
        <w:rPr>
          <w:rFonts w:ascii="Arial" w:hAnsi="Arial" w:cs="Arial"/>
          <w:b/>
        </w:rPr>
        <w:t xml:space="preserve">3. </w:t>
      </w:r>
      <w:r w:rsidR="00BC60A7" w:rsidRPr="004F6F3A">
        <w:rPr>
          <w:rFonts w:ascii="Arial" w:hAnsi="Arial" w:cs="Arial"/>
          <w:b/>
        </w:rPr>
        <w:t>Kadastro Parsel Envanter Çalışması</w:t>
      </w:r>
    </w:p>
    <w:p w:rsidR="00BC60A7" w:rsidRDefault="00BC60A7" w:rsidP="0069552F">
      <w:pPr>
        <w:jc w:val="both"/>
        <w:rPr>
          <w:rFonts w:ascii="Times New Roman" w:hAnsi="Times New Roman" w:cs="Times New Roman"/>
          <w:sz w:val="20"/>
          <w:szCs w:val="20"/>
          <w:lang w:eastAsia="tr-TR"/>
        </w:rPr>
      </w:pPr>
    </w:p>
    <w:p w:rsidR="00D92BD8" w:rsidRPr="00374F8B" w:rsidRDefault="00D92BD8" w:rsidP="00DA211A">
      <w:pPr>
        <w:jc w:val="both"/>
        <w:rPr>
          <w:rFonts w:ascii="Times New Roman" w:hAnsi="Times New Roman" w:cs="Times New Roman"/>
          <w:sz w:val="20"/>
          <w:szCs w:val="20"/>
          <w:lang w:eastAsia="tr-TR"/>
        </w:rPr>
      </w:pPr>
      <w:r w:rsidRPr="00374F8B">
        <w:rPr>
          <w:rFonts w:ascii="Times New Roman" w:hAnsi="Times New Roman" w:cs="Times New Roman"/>
          <w:sz w:val="20"/>
          <w:szCs w:val="20"/>
          <w:lang w:eastAsia="tr-TR"/>
        </w:rPr>
        <w:t>TKGM tarafından yapılacak çalışmalara altlık olması amacı ile Kadastro Parsel Envanter uygulaması hazırlanmış ve kadastro müdürlükleri tarafından bilgiler bu uygulamaya girilmiştir.</w:t>
      </w:r>
    </w:p>
    <w:p w:rsidR="00D92BD8" w:rsidRPr="00374F8B" w:rsidRDefault="00DD7A7D" w:rsidP="00DA211A">
      <w:pPr>
        <w:ind w:firstLine="284"/>
        <w:jc w:val="both"/>
        <w:rPr>
          <w:rFonts w:ascii="Times New Roman" w:hAnsi="Times New Roman" w:cs="Times New Roman"/>
          <w:sz w:val="20"/>
          <w:szCs w:val="20"/>
          <w:lang w:eastAsia="tr-TR"/>
        </w:rPr>
      </w:pPr>
      <w:r w:rsidRPr="00374F8B">
        <w:rPr>
          <w:rFonts w:ascii="Times New Roman" w:hAnsi="Times New Roman" w:cs="Times New Roman"/>
          <w:sz w:val="20"/>
          <w:szCs w:val="20"/>
          <w:lang w:eastAsia="tr-TR"/>
        </w:rPr>
        <w:t xml:space="preserve">2010 yılı itibari ile </w:t>
      </w:r>
      <w:r>
        <w:rPr>
          <w:rFonts w:ascii="Times New Roman" w:hAnsi="Times New Roman" w:cs="Times New Roman"/>
          <w:sz w:val="20"/>
          <w:szCs w:val="20"/>
          <w:lang w:eastAsia="tr-TR"/>
        </w:rPr>
        <w:t>u</w:t>
      </w:r>
      <w:r w:rsidR="00D92BD8" w:rsidRPr="00374F8B">
        <w:rPr>
          <w:rFonts w:ascii="Times New Roman" w:hAnsi="Times New Roman" w:cs="Times New Roman"/>
          <w:sz w:val="20"/>
          <w:szCs w:val="20"/>
          <w:lang w:eastAsia="tr-TR"/>
        </w:rPr>
        <w:t>ygulama sonucunda elde edilen bilgileri incelediğimizde müdürlüklerde yer alan geometrik verilerin 4 farklı koordinat sisteminde üretildiği görülmektedir.</w:t>
      </w:r>
    </w:p>
    <w:p w:rsidR="00D92BD8" w:rsidRDefault="00D92BD8" w:rsidP="003F7E8F">
      <w:pPr>
        <w:jc w:val="left"/>
        <w:rPr>
          <w:rFonts w:ascii="Arial" w:hAnsi="Arial" w:cs="Arial"/>
        </w:rPr>
      </w:pPr>
    </w:p>
    <w:p w:rsidR="00F8514C" w:rsidRDefault="00F8514C" w:rsidP="00F8514C">
      <w:pPr>
        <w:rPr>
          <w:rFonts w:ascii="Arial" w:hAnsi="Arial" w:cs="Arial"/>
          <w:i/>
          <w:sz w:val="18"/>
          <w:szCs w:val="18"/>
        </w:rPr>
      </w:pPr>
      <w:r w:rsidRPr="00F8514C">
        <w:rPr>
          <w:rFonts w:ascii="Arial" w:hAnsi="Arial" w:cs="Arial"/>
          <w:noProof/>
          <w:lang w:eastAsia="tr-TR"/>
        </w:rPr>
        <w:drawing>
          <wp:inline distT="0" distB="0" distL="0" distR="0">
            <wp:extent cx="5191125" cy="27527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8514C">
        <w:rPr>
          <w:rFonts w:ascii="Arial" w:hAnsi="Arial" w:cs="Arial"/>
          <w:i/>
          <w:sz w:val="18"/>
          <w:szCs w:val="18"/>
        </w:rPr>
        <w:t xml:space="preserve"> </w:t>
      </w:r>
    </w:p>
    <w:p w:rsidR="00F8514C" w:rsidRDefault="00F8514C" w:rsidP="00F8514C">
      <w:pPr>
        <w:rPr>
          <w:rFonts w:ascii="Arial" w:hAnsi="Arial" w:cs="Arial"/>
          <w:i/>
          <w:sz w:val="18"/>
          <w:szCs w:val="18"/>
        </w:rPr>
      </w:pPr>
    </w:p>
    <w:p w:rsidR="00F8514C" w:rsidRDefault="00F8514C" w:rsidP="00F8514C">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2</w:t>
      </w:r>
      <w:r w:rsidRPr="003F7E8F">
        <w:rPr>
          <w:rFonts w:ascii="Arial" w:hAnsi="Arial" w:cs="Arial"/>
          <w:i/>
          <w:sz w:val="18"/>
          <w:szCs w:val="18"/>
        </w:rPr>
        <w:t xml:space="preserve">: </w:t>
      </w:r>
      <w:r>
        <w:rPr>
          <w:rFonts w:ascii="Arial" w:hAnsi="Arial" w:cs="Arial"/>
          <w:i/>
          <w:sz w:val="18"/>
          <w:szCs w:val="18"/>
        </w:rPr>
        <w:t>Kadastro Veri Altyapısı</w:t>
      </w:r>
      <w:r w:rsidR="006954F8">
        <w:rPr>
          <w:rFonts w:ascii="Arial" w:hAnsi="Arial" w:cs="Arial"/>
          <w:i/>
          <w:sz w:val="18"/>
          <w:szCs w:val="18"/>
        </w:rPr>
        <w:t xml:space="preserve"> </w:t>
      </w:r>
      <w:r w:rsidR="008B0552">
        <w:rPr>
          <w:rFonts w:ascii="Arial" w:hAnsi="Arial" w:cs="Arial"/>
          <w:i/>
          <w:sz w:val="18"/>
          <w:szCs w:val="18"/>
        </w:rPr>
        <w:t>–</w:t>
      </w:r>
      <w:r w:rsidR="006954F8">
        <w:rPr>
          <w:rFonts w:ascii="Arial" w:hAnsi="Arial" w:cs="Arial"/>
          <w:i/>
          <w:sz w:val="18"/>
          <w:szCs w:val="18"/>
        </w:rPr>
        <w:t xml:space="preserve"> 2010</w:t>
      </w:r>
    </w:p>
    <w:p w:rsidR="008B0552" w:rsidRDefault="008B0552" w:rsidP="00F8514C">
      <w:pPr>
        <w:rPr>
          <w:rFonts w:ascii="Arial" w:hAnsi="Arial" w:cs="Arial"/>
          <w:i/>
          <w:sz w:val="18"/>
          <w:szCs w:val="18"/>
        </w:rPr>
      </w:pPr>
    </w:p>
    <w:p w:rsidR="00591D37" w:rsidRDefault="00025D38" w:rsidP="00DA211A">
      <w:pPr>
        <w:ind w:firstLine="284"/>
        <w:jc w:val="both"/>
        <w:rPr>
          <w:rFonts w:ascii="Times New Roman" w:hAnsi="Times New Roman" w:cs="Times New Roman"/>
          <w:sz w:val="20"/>
          <w:szCs w:val="20"/>
          <w:lang w:eastAsia="tr-TR"/>
        </w:rPr>
      </w:pPr>
      <w:r w:rsidRPr="00025D38">
        <w:rPr>
          <w:rFonts w:ascii="Times New Roman" w:hAnsi="Times New Roman" w:cs="Times New Roman"/>
          <w:sz w:val="20"/>
          <w:szCs w:val="20"/>
          <w:lang w:eastAsia="tr-TR"/>
        </w:rPr>
        <w:t>Şekil 2’yi incelediğimizde 1900</w:t>
      </w:r>
      <w:r w:rsidR="00591D37">
        <w:rPr>
          <w:rFonts w:ascii="Times New Roman" w:hAnsi="Times New Roman" w:cs="Times New Roman"/>
          <w:sz w:val="20"/>
          <w:szCs w:val="20"/>
          <w:lang w:eastAsia="tr-TR"/>
        </w:rPr>
        <w:t>’</w:t>
      </w:r>
      <w:r w:rsidRPr="00025D38">
        <w:rPr>
          <w:rFonts w:ascii="Times New Roman" w:hAnsi="Times New Roman" w:cs="Times New Roman"/>
          <w:sz w:val="20"/>
          <w:szCs w:val="20"/>
          <w:lang w:eastAsia="tr-TR"/>
        </w:rPr>
        <w:t xml:space="preserve">lü yılların başında başlanılan kadastro çalışmaları sonucunda üretilen kadastro bilgilerinin %9’unun grafik (koordinata bağlı olmayan), %14’ünün </w:t>
      </w:r>
      <w:proofErr w:type="gramStart"/>
      <w:r w:rsidRPr="00025D38">
        <w:rPr>
          <w:rFonts w:ascii="Times New Roman" w:hAnsi="Times New Roman" w:cs="Times New Roman"/>
          <w:sz w:val="20"/>
          <w:szCs w:val="20"/>
          <w:lang w:eastAsia="tr-TR"/>
        </w:rPr>
        <w:t>lokal</w:t>
      </w:r>
      <w:proofErr w:type="gramEnd"/>
      <w:r w:rsidRPr="00025D38">
        <w:rPr>
          <w:rFonts w:ascii="Times New Roman" w:hAnsi="Times New Roman" w:cs="Times New Roman"/>
          <w:sz w:val="20"/>
          <w:szCs w:val="20"/>
          <w:lang w:eastAsia="tr-TR"/>
        </w:rPr>
        <w:t xml:space="preserve"> (yerel) koordinat sisteminde, %53’ünün ED50 koordinat sisteminde ve %24’ünün ise ITRF koordinat sisteminde olduğu görülmektedir.</w:t>
      </w:r>
    </w:p>
    <w:p w:rsidR="00591D37" w:rsidRDefault="00591D37"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Aynı çalışma kapsamında mevcut verilerin bilgisayar ortamında olma durumu ile ilgili olarak elde edilen bilgilere göre yaklaşık 35 milyon parselin dijital ortama aktarıldığı ancak 20 milyon parsele ait bilgilerin henüz dijital hale getirilmediği bilgisi de toplanmıştır.</w:t>
      </w:r>
    </w:p>
    <w:p w:rsidR="00DA211A" w:rsidRDefault="00591D37"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Tarım Reformu Genel Müdürlüğü (TRGM) ile yapılan protokol ile </w:t>
      </w:r>
      <w:r w:rsidR="003E582B">
        <w:rPr>
          <w:rFonts w:ascii="Times New Roman" w:hAnsi="Times New Roman" w:cs="Times New Roman"/>
          <w:sz w:val="20"/>
          <w:szCs w:val="20"/>
          <w:lang w:eastAsia="tr-TR"/>
        </w:rPr>
        <w:t xml:space="preserve">müdürlüklerce </w:t>
      </w:r>
      <w:r w:rsidR="005D53F0">
        <w:rPr>
          <w:rFonts w:ascii="Times New Roman" w:hAnsi="Times New Roman" w:cs="Times New Roman"/>
          <w:sz w:val="20"/>
          <w:szCs w:val="20"/>
          <w:lang w:eastAsia="tr-TR"/>
        </w:rPr>
        <w:t>belirlenen alanlarda yaklaşık 10 milyon kadastro parselinin dijital ortama aktarımı sağlanmıştır.</w:t>
      </w:r>
    </w:p>
    <w:p w:rsidR="002A2276" w:rsidRDefault="005609AB"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lastRenderedPageBreak/>
        <w:t xml:space="preserve">Kadastro bilgilerine ait oluşturulacak her hangi bir </w:t>
      </w:r>
      <w:r w:rsidR="00B30B68">
        <w:rPr>
          <w:rFonts w:ascii="Times New Roman" w:hAnsi="Times New Roman" w:cs="Times New Roman"/>
          <w:sz w:val="20"/>
          <w:szCs w:val="20"/>
          <w:lang w:eastAsia="tr-TR"/>
        </w:rPr>
        <w:t>otomasyon</w:t>
      </w:r>
      <w:r>
        <w:rPr>
          <w:rFonts w:ascii="Times New Roman" w:hAnsi="Times New Roman" w:cs="Times New Roman"/>
          <w:sz w:val="20"/>
          <w:szCs w:val="20"/>
          <w:lang w:eastAsia="tr-TR"/>
        </w:rPr>
        <w:t xml:space="preserve"> çalışmasında çözülmesi gereken en önemli </w:t>
      </w:r>
      <w:r w:rsidR="00B30B68">
        <w:rPr>
          <w:rFonts w:ascii="Times New Roman" w:hAnsi="Times New Roman" w:cs="Times New Roman"/>
          <w:sz w:val="20"/>
          <w:szCs w:val="20"/>
          <w:lang w:eastAsia="tr-TR"/>
        </w:rPr>
        <w:t>sorunlardan</w:t>
      </w:r>
      <w:r>
        <w:rPr>
          <w:rFonts w:ascii="Times New Roman" w:hAnsi="Times New Roman" w:cs="Times New Roman"/>
          <w:sz w:val="20"/>
          <w:szCs w:val="20"/>
          <w:lang w:eastAsia="tr-TR"/>
        </w:rPr>
        <w:t xml:space="preserve"> biri farklı koordinat sistemlerinde yer alan verilerin bütüncül olarak bir altyapıda toplanması ve kadastro müdürlüklerinin ihtiyaç duyduğu </w:t>
      </w:r>
      <w:r w:rsidR="00B30B68">
        <w:rPr>
          <w:rFonts w:ascii="Times New Roman" w:hAnsi="Times New Roman" w:cs="Times New Roman"/>
          <w:sz w:val="20"/>
          <w:szCs w:val="20"/>
          <w:lang w:eastAsia="tr-TR"/>
        </w:rPr>
        <w:t>şekilde sunulması</w:t>
      </w:r>
      <w:r w:rsidR="001E359E">
        <w:rPr>
          <w:rFonts w:ascii="Times New Roman" w:hAnsi="Times New Roman" w:cs="Times New Roman"/>
          <w:sz w:val="20"/>
          <w:szCs w:val="20"/>
          <w:lang w:eastAsia="tr-TR"/>
        </w:rPr>
        <w:t>dır</w:t>
      </w:r>
      <w:r w:rsidR="00B30B68">
        <w:rPr>
          <w:rFonts w:ascii="Times New Roman" w:hAnsi="Times New Roman" w:cs="Times New Roman"/>
          <w:sz w:val="20"/>
          <w:szCs w:val="20"/>
          <w:lang w:eastAsia="tr-TR"/>
        </w:rPr>
        <w:t>.</w:t>
      </w:r>
    </w:p>
    <w:p w:rsidR="002A2276" w:rsidRDefault="002A2276"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Yaklaşık yüz yıllık bir çalışma sonrası elde edilen bu bilgilerin asgari ölçüde arazi çalışmaları yapılarak, gerekmedikçe büyük maliyet oluşturan uygulamalardan kaçınılarak bir sonuç üretmek zaruri bir durum olarak karşımıza çıkmaktadır.</w:t>
      </w:r>
    </w:p>
    <w:p w:rsidR="002A2276" w:rsidRDefault="002A2276" w:rsidP="00025D38">
      <w:pPr>
        <w:jc w:val="both"/>
        <w:rPr>
          <w:rFonts w:ascii="Times New Roman" w:hAnsi="Times New Roman" w:cs="Times New Roman"/>
          <w:sz w:val="20"/>
          <w:szCs w:val="20"/>
          <w:lang w:eastAsia="tr-TR"/>
        </w:rPr>
      </w:pPr>
    </w:p>
    <w:p w:rsidR="008557B3" w:rsidRDefault="008557B3" w:rsidP="008557B3">
      <w:pPr>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5040000" cy="2340000"/>
            <wp:effectExtent l="19050" t="19050" r="27305" b="22225"/>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340000"/>
                    </a:xfrm>
                    <a:prstGeom prst="rect">
                      <a:avLst/>
                    </a:prstGeom>
                    <a:noFill/>
                    <a:ln>
                      <a:solidFill>
                        <a:schemeClr val="bg1">
                          <a:lumMod val="50000"/>
                        </a:schemeClr>
                      </a:solidFill>
                    </a:ln>
                  </pic:spPr>
                </pic:pic>
              </a:graphicData>
            </a:graphic>
          </wp:inline>
        </w:drawing>
      </w:r>
    </w:p>
    <w:p w:rsidR="008557B3" w:rsidRDefault="008557B3" w:rsidP="008557B3">
      <w:pPr>
        <w:rPr>
          <w:rFonts w:ascii="Times New Roman" w:hAnsi="Times New Roman" w:cs="Times New Roman"/>
          <w:sz w:val="20"/>
          <w:szCs w:val="20"/>
          <w:lang w:eastAsia="tr-TR"/>
        </w:rPr>
      </w:pPr>
    </w:p>
    <w:p w:rsidR="008557B3" w:rsidRDefault="008557B3" w:rsidP="008557B3">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3</w:t>
      </w:r>
      <w:r w:rsidRPr="003F7E8F">
        <w:rPr>
          <w:rFonts w:ascii="Arial" w:hAnsi="Arial" w:cs="Arial"/>
          <w:i/>
          <w:sz w:val="18"/>
          <w:szCs w:val="18"/>
        </w:rPr>
        <w:t xml:space="preserve">: </w:t>
      </w:r>
      <w:r>
        <w:rPr>
          <w:rFonts w:ascii="Arial" w:hAnsi="Arial" w:cs="Arial"/>
          <w:i/>
          <w:sz w:val="18"/>
          <w:szCs w:val="18"/>
        </w:rPr>
        <w:t>Dönüşüm İşlemleri</w:t>
      </w:r>
    </w:p>
    <w:p w:rsidR="00B63250" w:rsidRDefault="00B63250" w:rsidP="008557B3">
      <w:pPr>
        <w:rPr>
          <w:rFonts w:ascii="Arial" w:hAnsi="Arial" w:cs="Arial"/>
          <w:i/>
          <w:sz w:val="18"/>
          <w:szCs w:val="18"/>
        </w:rPr>
      </w:pPr>
    </w:p>
    <w:p w:rsidR="00EC145E" w:rsidRDefault="00B63250" w:rsidP="00DA211A">
      <w:pPr>
        <w:ind w:firstLine="284"/>
        <w:jc w:val="both"/>
        <w:rPr>
          <w:rFonts w:ascii="Times New Roman" w:hAnsi="Times New Roman" w:cs="Times New Roman"/>
          <w:sz w:val="20"/>
          <w:szCs w:val="20"/>
          <w:lang w:eastAsia="tr-TR"/>
        </w:rPr>
      </w:pPr>
      <w:r w:rsidRPr="00B63250">
        <w:rPr>
          <w:rFonts w:ascii="Times New Roman" w:hAnsi="Times New Roman" w:cs="Times New Roman"/>
          <w:sz w:val="20"/>
          <w:szCs w:val="20"/>
          <w:lang w:eastAsia="tr-TR"/>
        </w:rPr>
        <w:t>Şekil 3’te de görüldüğü üzere faklı koordinat sistemlerinde yer alan verilerin dönüşüm sonucu bir araya getirilmesi ve üretim koordinatlarının da (orijinal koordinat) veri modelinde saklanması neticesinde istenilen sonuçların alınması sağlanmaktadır.</w:t>
      </w:r>
    </w:p>
    <w:p w:rsidR="008557B3" w:rsidRPr="00025D38" w:rsidRDefault="00EC145E"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Dönüşüm ile sonuç alınamayacak ölçüde uyumsuzluk yaşanan kadastro bilgileri ise TKGM ile Dünya Bankası </w:t>
      </w:r>
      <w:r w:rsidR="006D7C87">
        <w:rPr>
          <w:rFonts w:ascii="Times New Roman" w:hAnsi="Times New Roman" w:cs="Times New Roman"/>
          <w:sz w:val="20"/>
          <w:szCs w:val="20"/>
          <w:lang w:eastAsia="tr-TR"/>
        </w:rPr>
        <w:t xml:space="preserve">tarafından </w:t>
      </w:r>
      <w:r w:rsidR="002E3934">
        <w:rPr>
          <w:rFonts w:ascii="Times New Roman" w:hAnsi="Times New Roman" w:cs="Times New Roman"/>
          <w:sz w:val="20"/>
          <w:szCs w:val="20"/>
          <w:lang w:eastAsia="tr-TR"/>
        </w:rPr>
        <w:t xml:space="preserve">2009 yılından itibaren </w:t>
      </w:r>
      <w:r w:rsidR="006D7C87">
        <w:rPr>
          <w:rFonts w:ascii="Times New Roman" w:hAnsi="Times New Roman" w:cs="Times New Roman"/>
          <w:sz w:val="20"/>
          <w:szCs w:val="20"/>
          <w:lang w:eastAsia="tr-TR"/>
        </w:rPr>
        <w:t xml:space="preserve">yürütülen </w:t>
      </w:r>
      <w:r>
        <w:rPr>
          <w:rFonts w:ascii="Times New Roman" w:hAnsi="Times New Roman" w:cs="Times New Roman"/>
          <w:sz w:val="20"/>
          <w:szCs w:val="20"/>
          <w:lang w:eastAsia="tr-TR"/>
        </w:rPr>
        <w:t>Tapu ve Kadastro Modernizasyon Projesi (TKMP)</w:t>
      </w:r>
      <w:r w:rsidR="006D7C87">
        <w:rPr>
          <w:rFonts w:ascii="Times New Roman" w:hAnsi="Times New Roman" w:cs="Times New Roman"/>
          <w:sz w:val="20"/>
          <w:szCs w:val="20"/>
          <w:lang w:eastAsia="tr-TR"/>
        </w:rPr>
        <w:t xml:space="preserve"> kapsamında yenileme çalışmaları yapılmaktadır.</w:t>
      </w:r>
      <w:r w:rsidR="002E3934">
        <w:rPr>
          <w:rFonts w:ascii="Times New Roman" w:hAnsi="Times New Roman" w:cs="Times New Roman"/>
          <w:sz w:val="20"/>
          <w:szCs w:val="20"/>
          <w:lang w:eastAsia="tr-TR"/>
        </w:rPr>
        <w:t xml:space="preserve"> Bu kapsamda 2014 yılı sonuna kadar yaklaşık 10 milyon parselin yenileneme çalışmaları tamamlanacaktır.</w:t>
      </w:r>
    </w:p>
    <w:p w:rsidR="00BC60A7" w:rsidRPr="003F7E8F" w:rsidRDefault="00BC60A7" w:rsidP="00F8514C">
      <w:pPr>
        <w:rPr>
          <w:rFonts w:ascii="Arial" w:hAnsi="Arial" w:cs="Arial"/>
        </w:rPr>
      </w:pPr>
    </w:p>
    <w:p w:rsidR="00B053C8" w:rsidRPr="004F6F3A" w:rsidRDefault="004F6F3A" w:rsidP="004F6F3A">
      <w:pPr>
        <w:jc w:val="left"/>
        <w:rPr>
          <w:rFonts w:ascii="Arial" w:hAnsi="Arial" w:cs="Arial"/>
          <w:b/>
        </w:rPr>
      </w:pPr>
      <w:r w:rsidRPr="004F6F3A">
        <w:rPr>
          <w:rFonts w:ascii="Arial" w:hAnsi="Arial" w:cs="Arial"/>
          <w:b/>
        </w:rPr>
        <w:t xml:space="preserve">4. </w:t>
      </w:r>
      <w:r w:rsidR="00136200" w:rsidRPr="004F6F3A">
        <w:rPr>
          <w:rFonts w:ascii="Arial" w:hAnsi="Arial" w:cs="Arial"/>
          <w:b/>
        </w:rPr>
        <w:t>Mekânsal Gayrimenkul Sistemi (MEGSİS)</w:t>
      </w:r>
    </w:p>
    <w:p w:rsidR="003C6042" w:rsidRDefault="003C6042" w:rsidP="003C6042">
      <w:pPr>
        <w:jc w:val="both"/>
        <w:rPr>
          <w:rFonts w:ascii="Arial" w:hAnsi="Arial" w:cs="Arial"/>
          <w:b/>
        </w:rPr>
      </w:pPr>
    </w:p>
    <w:p w:rsidR="00BC60A7" w:rsidRDefault="00BC60A7" w:rsidP="00BC60A7">
      <w:pPr>
        <w:jc w:val="both"/>
        <w:rPr>
          <w:rFonts w:ascii="Times New Roman" w:hAnsi="Times New Roman" w:cs="Times New Roman"/>
          <w:sz w:val="20"/>
          <w:szCs w:val="20"/>
          <w:lang w:eastAsia="tr-TR"/>
        </w:rPr>
      </w:pPr>
      <w:r w:rsidRPr="00BC60A7">
        <w:rPr>
          <w:rFonts w:ascii="Times New Roman" w:hAnsi="Times New Roman" w:cs="Times New Roman"/>
          <w:sz w:val="20"/>
          <w:szCs w:val="20"/>
          <w:lang w:eastAsia="tr-TR"/>
        </w:rPr>
        <w:t>MEGSİS</w:t>
      </w:r>
      <w:r>
        <w:rPr>
          <w:rFonts w:ascii="Times New Roman" w:hAnsi="Times New Roman" w:cs="Times New Roman"/>
          <w:sz w:val="20"/>
          <w:szCs w:val="20"/>
          <w:lang w:eastAsia="tr-TR"/>
        </w:rPr>
        <w:t>,</w:t>
      </w:r>
      <w:r w:rsidRPr="00BC60A7">
        <w:rPr>
          <w:rFonts w:ascii="Times New Roman" w:hAnsi="Times New Roman" w:cs="Times New Roman"/>
          <w:sz w:val="20"/>
          <w:szCs w:val="20"/>
          <w:lang w:eastAsia="tr-TR"/>
        </w:rPr>
        <w:t xml:space="preserve"> sayısal olarak kadastro müdürlüklerinin yerel bilgisayarlarında yer </w:t>
      </w:r>
      <w:proofErr w:type="gramStart"/>
      <w:r w:rsidRPr="00BC60A7">
        <w:rPr>
          <w:rFonts w:ascii="Times New Roman" w:hAnsi="Times New Roman" w:cs="Times New Roman"/>
          <w:sz w:val="20"/>
          <w:szCs w:val="20"/>
          <w:lang w:eastAsia="tr-TR"/>
        </w:rPr>
        <w:t>alan .cad</w:t>
      </w:r>
      <w:proofErr w:type="gramEnd"/>
      <w:r w:rsidRPr="00BC60A7">
        <w:rPr>
          <w:rFonts w:ascii="Times New Roman" w:hAnsi="Times New Roman" w:cs="Times New Roman"/>
          <w:sz w:val="20"/>
          <w:szCs w:val="20"/>
          <w:lang w:eastAsia="tr-TR"/>
        </w:rPr>
        <w:t xml:space="preserve"> tabanlı verilerin merkezi bir sistem üzerinde toplanarak tapu bilgileri ile eşleştirilmesi ve bu bilgilere ihtiyaç duyan paydaş kurum, kuruluş ve belediyeler ile uluslararası standartlarda harita servisleri ile paylaşılması, e-Devlet kapısı üzerinden vatandaşlara sunulması amacıyla Tapu ve Kadastro Müdürlüğü tarafından projelendirilerek kurum imkanları ile hazırlanmış açık kaynaklı bir uygulamadır.</w:t>
      </w:r>
      <w:r w:rsidR="00AB0F97">
        <w:rPr>
          <w:rFonts w:ascii="Times New Roman" w:hAnsi="Times New Roman" w:cs="Times New Roman"/>
          <w:sz w:val="20"/>
          <w:szCs w:val="20"/>
          <w:lang w:eastAsia="tr-TR"/>
        </w:rPr>
        <w:br/>
      </w:r>
    </w:p>
    <w:p w:rsidR="007E321F" w:rsidRDefault="007E321F" w:rsidP="00BC60A7">
      <w:pPr>
        <w:jc w:val="both"/>
        <w:rPr>
          <w:rFonts w:ascii="Times New Roman" w:hAnsi="Times New Roman" w:cs="Times New Roman"/>
          <w:sz w:val="20"/>
          <w:szCs w:val="20"/>
          <w:lang w:eastAsia="tr-TR"/>
        </w:rPr>
      </w:pPr>
    </w:p>
    <w:p w:rsidR="00BC60A7" w:rsidRDefault="007E321F" w:rsidP="007E321F">
      <w:pPr>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3526970" cy="1472540"/>
            <wp:effectExtent l="0" t="0" r="0" b="0"/>
            <wp:docPr id="32" name="Resim 32" descr="C:\Users\myasinoz\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sinoz\Desktop\Adsız.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172" cy="1475964"/>
                    </a:xfrm>
                    <a:prstGeom prst="rect">
                      <a:avLst/>
                    </a:prstGeom>
                    <a:noFill/>
                    <a:ln>
                      <a:noFill/>
                    </a:ln>
                  </pic:spPr>
                </pic:pic>
              </a:graphicData>
            </a:graphic>
          </wp:inline>
        </w:drawing>
      </w:r>
    </w:p>
    <w:p w:rsidR="007E321F" w:rsidRDefault="007E321F" w:rsidP="007E321F">
      <w:pPr>
        <w:rPr>
          <w:rFonts w:ascii="Times New Roman" w:hAnsi="Times New Roman" w:cs="Times New Roman"/>
          <w:sz w:val="20"/>
          <w:szCs w:val="20"/>
          <w:lang w:eastAsia="tr-TR"/>
        </w:rPr>
      </w:pPr>
    </w:p>
    <w:p w:rsidR="007E321F" w:rsidRDefault="007E321F" w:rsidP="00AB0F97">
      <w:pPr>
        <w:rPr>
          <w:rFonts w:ascii="Arial" w:hAnsi="Arial" w:cs="Arial"/>
          <w:i/>
          <w:sz w:val="18"/>
          <w:szCs w:val="18"/>
        </w:rPr>
      </w:pPr>
      <w:r w:rsidRPr="003F7E8F">
        <w:rPr>
          <w:rFonts w:ascii="Arial" w:hAnsi="Arial" w:cs="Arial"/>
          <w:i/>
          <w:sz w:val="18"/>
          <w:szCs w:val="18"/>
        </w:rPr>
        <w:t xml:space="preserve">Şekil </w:t>
      </w:r>
      <w:r w:rsidR="00434FA7">
        <w:rPr>
          <w:rFonts w:ascii="Arial" w:hAnsi="Arial" w:cs="Arial"/>
          <w:i/>
          <w:sz w:val="18"/>
          <w:szCs w:val="18"/>
        </w:rPr>
        <w:t>4</w:t>
      </w:r>
      <w:r w:rsidRPr="003F7E8F">
        <w:rPr>
          <w:rFonts w:ascii="Arial" w:hAnsi="Arial" w:cs="Arial"/>
          <w:i/>
          <w:sz w:val="18"/>
          <w:szCs w:val="18"/>
        </w:rPr>
        <w:t xml:space="preserve">: </w:t>
      </w:r>
      <w:r>
        <w:rPr>
          <w:rFonts w:ascii="Arial" w:hAnsi="Arial" w:cs="Arial"/>
          <w:i/>
          <w:sz w:val="18"/>
          <w:szCs w:val="18"/>
        </w:rPr>
        <w:t>İlişkilendirilmiş Bilgi Sistemi</w:t>
      </w:r>
    </w:p>
    <w:p w:rsidR="00B0420A" w:rsidRDefault="00BC51F2" w:rsidP="00BC51F2">
      <w:pPr>
        <w:rPr>
          <w:rFonts w:ascii="Times New Roman" w:hAnsi="Times New Roman" w:cs="Times New Roman"/>
          <w:sz w:val="20"/>
          <w:szCs w:val="20"/>
          <w:lang w:eastAsia="tr-TR"/>
        </w:rPr>
      </w:pPr>
      <w:r>
        <w:rPr>
          <w:rFonts w:ascii="Times New Roman" w:hAnsi="Times New Roman" w:cs="Times New Roman"/>
          <w:noProof/>
          <w:sz w:val="20"/>
          <w:szCs w:val="20"/>
          <w:lang w:eastAsia="tr-TR"/>
        </w:rPr>
        <w:lastRenderedPageBreak/>
        <w:drawing>
          <wp:inline distT="0" distB="0" distL="0" distR="0">
            <wp:extent cx="5040000" cy="2340000"/>
            <wp:effectExtent l="0" t="0" r="8255" b="3175"/>
            <wp:docPr id="35" name="Resim 35" descr="C:\Users\myasinoz\Desktop\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myasinoz\Desktop\Untitled-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2340000"/>
                    </a:xfrm>
                    <a:prstGeom prst="rect">
                      <a:avLst/>
                    </a:prstGeom>
                    <a:noFill/>
                    <a:ln>
                      <a:noFill/>
                    </a:ln>
                  </pic:spPr>
                </pic:pic>
              </a:graphicData>
            </a:graphic>
          </wp:inline>
        </w:drawing>
      </w:r>
    </w:p>
    <w:p w:rsidR="00434FA7" w:rsidRDefault="00434FA7" w:rsidP="00BC51F2">
      <w:pPr>
        <w:rPr>
          <w:rFonts w:ascii="Times New Roman" w:hAnsi="Times New Roman" w:cs="Times New Roman"/>
          <w:sz w:val="20"/>
          <w:szCs w:val="20"/>
          <w:lang w:eastAsia="tr-TR"/>
        </w:rPr>
      </w:pPr>
    </w:p>
    <w:p w:rsidR="00434FA7" w:rsidRDefault="00434FA7" w:rsidP="00434FA7">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5</w:t>
      </w:r>
      <w:r w:rsidR="000E20CE">
        <w:rPr>
          <w:rFonts w:ascii="Arial" w:hAnsi="Arial" w:cs="Arial"/>
          <w:i/>
          <w:sz w:val="18"/>
          <w:szCs w:val="18"/>
        </w:rPr>
        <w:t xml:space="preserve">: </w:t>
      </w:r>
      <w:r>
        <w:rPr>
          <w:rFonts w:ascii="Arial" w:hAnsi="Arial" w:cs="Arial"/>
          <w:i/>
          <w:sz w:val="18"/>
          <w:szCs w:val="18"/>
        </w:rPr>
        <w:t>Sistem Mimarisi</w:t>
      </w:r>
    </w:p>
    <w:p w:rsidR="00BC51F2" w:rsidRDefault="00BC51F2" w:rsidP="00BC51F2">
      <w:pPr>
        <w:rPr>
          <w:rFonts w:ascii="Times New Roman" w:hAnsi="Times New Roman" w:cs="Times New Roman"/>
          <w:sz w:val="20"/>
          <w:szCs w:val="20"/>
          <w:lang w:eastAsia="tr-TR"/>
        </w:rPr>
      </w:pPr>
    </w:p>
    <w:p w:rsidR="007177F7" w:rsidRDefault="00100D5D"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MEGSİS kapsamında oluşturulan sistem mimarisi Şekil 5’te detaylı bir şekilde görülmektedir. Bu kapsamda </w:t>
      </w:r>
      <w:r w:rsidR="0082252E">
        <w:rPr>
          <w:rFonts w:ascii="Times New Roman" w:hAnsi="Times New Roman" w:cs="Times New Roman"/>
          <w:sz w:val="20"/>
          <w:szCs w:val="20"/>
          <w:lang w:eastAsia="tr-TR"/>
        </w:rPr>
        <w:t xml:space="preserve">veri tabanı olarak </w:t>
      </w:r>
      <w:proofErr w:type="spellStart"/>
      <w:r w:rsidR="0082252E">
        <w:rPr>
          <w:rFonts w:ascii="Times New Roman" w:hAnsi="Times New Roman" w:cs="Times New Roman"/>
          <w:sz w:val="20"/>
          <w:szCs w:val="20"/>
          <w:lang w:eastAsia="tr-TR"/>
        </w:rPr>
        <w:t>PostgreSQL</w:t>
      </w:r>
      <w:proofErr w:type="spellEnd"/>
      <w:r w:rsidR="0082252E">
        <w:rPr>
          <w:rFonts w:ascii="Times New Roman" w:hAnsi="Times New Roman" w:cs="Times New Roman"/>
          <w:sz w:val="20"/>
          <w:szCs w:val="20"/>
          <w:lang w:eastAsia="tr-TR"/>
        </w:rPr>
        <w:t xml:space="preserve"> </w:t>
      </w:r>
      <w:r w:rsidR="00936C76">
        <w:rPr>
          <w:rFonts w:ascii="Times New Roman" w:hAnsi="Times New Roman" w:cs="Times New Roman"/>
          <w:sz w:val="20"/>
          <w:szCs w:val="20"/>
          <w:lang w:eastAsia="tr-TR"/>
        </w:rPr>
        <w:t>+</w:t>
      </w:r>
      <w:r w:rsidR="0082252E">
        <w:rPr>
          <w:rFonts w:ascii="Times New Roman" w:hAnsi="Times New Roman" w:cs="Times New Roman"/>
          <w:sz w:val="20"/>
          <w:szCs w:val="20"/>
          <w:lang w:eastAsia="tr-TR"/>
        </w:rPr>
        <w:t xml:space="preserve"> </w:t>
      </w:r>
      <w:proofErr w:type="spellStart"/>
      <w:r w:rsidR="00936C76">
        <w:rPr>
          <w:rFonts w:ascii="Times New Roman" w:hAnsi="Times New Roman" w:cs="Times New Roman"/>
          <w:sz w:val="20"/>
          <w:szCs w:val="20"/>
          <w:lang w:eastAsia="tr-TR"/>
        </w:rPr>
        <w:t>PostGIS</w:t>
      </w:r>
      <w:proofErr w:type="spellEnd"/>
      <w:r>
        <w:rPr>
          <w:rFonts w:ascii="Times New Roman" w:hAnsi="Times New Roman" w:cs="Times New Roman"/>
          <w:sz w:val="20"/>
          <w:szCs w:val="20"/>
          <w:lang w:eastAsia="tr-TR"/>
        </w:rPr>
        <w:t xml:space="preserve">, coğrafi sunucu olarak </w:t>
      </w:r>
      <w:proofErr w:type="spellStart"/>
      <w:r>
        <w:rPr>
          <w:rFonts w:ascii="Times New Roman" w:hAnsi="Times New Roman" w:cs="Times New Roman"/>
          <w:sz w:val="20"/>
          <w:szCs w:val="20"/>
          <w:lang w:eastAsia="tr-TR"/>
        </w:rPr>
        <w:t>Geo</w:t>
      </w:r>
      <w:r w:rsidR="00936C76">
        <w:rPr>
          <w:rFonts w:ascii="Times New Roman" w:hAnsi="Times New Roman" w:cs="Times New Roman"/>
          <w:sz w:val="20"/>
          <w:szCs w:val="20"/>
          <w:lang w:eastAsia="tr-TR"/>
        </w:rPr>
        <w:t>S</w:t>
      </w:r>
      <w:r>
        <w:rPr>
          <w:rFonts w:ascii="Times New Roman" w:hAnsi="Times New Roman" w:cs="Times New Roman"/>
          <w:sz w:val="20"/>
          <w:szCs w:val="20"/>
          <w:lang w:eastAsia="tr-TR"/>
        </w:rPr>
        <w:t>erver</w:t>
      </w:r>
      <w:proofErr w:type="spellEnd"/>
      <w:r>
        <w:rPr>
          <w:rFonts w:ascii="Times New Roman" w:hAnsi="Times New Roman" w:cs="Times New Roman"/>
          <w:sz w:val="20"/>
          <w:szCs w:val="20"/>
          <w:lang w:eastAsia="tr-TR"/>
        </w:rPr>
        <w:t xml:space="preserve"> kullanılmıştır. </w:t>
      </w:r>
    </w:p>
    <w:p w:rsidR="00100D5D" w:rsidRDefault="00100D5D"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Proje yönetimi ve sorumluluğu TKGM ekibinde olmak üzere TKGM ve TÜRKSAT A.Ş. çalışanlarından ortak bir çalışma grubu oluşturulmuş ve kurumsal otomasyon altyapısı da göz önüne alınarak</w:t>
      </w:r>
      <w:r w:rsidR="00CB4DC9">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bu ekip tarafından servis tabanlı ve </w:t>
      </w:r>
      <w:proofErr w:type="gramStart"/>
      <w:r w:rsidR="00564DA8" w:rsidRPr="00564DA8">
        <w:rPr>
          <w:rFonts w:ascii="Times New Roman" w:hAnsi="Times New Roman" w:cs="Times New Roman"/>
          <w:sz w:val="20"/>
          <w:szCs w:val="20"/>
          <w:lang w:eastAsia="tr-TR"/>
        </w:rPr>
        <w:t>Microsoft .NET</w:t>
      </w:r>
      <w:proofErr w:type="gramEnd"/>
      <w:r w:rsidR="00564DA8" w:rsidRPr="00564DA8">
        <w:rPr>
          <w:rFonts w:ascii="Times New Roman" w:hAnsi="Times New Roman" w:cs="Times New Roman"/>
          <w:sz w:val="20"/>
          <w:szCs w:val="20"/>
          <w:lang w:eastAsia="tr-TR"/>
        </w:rPr>
        <w:t xml:space="preserve"> Framework 4</w:t>
      </w:r>
      <w:r w:rsidR="00564DA8">
        <w:rPr>
          <w:rFonts w:ascii="Times New Roman" w:hAnsi="Times New Roman" w:cs="Times New Roman"/>
          <w:sz w:val="20"/>
          <w:szCs w:val="20"/>
          <w:lang w:eastAsia="tr-TR"/>
        </w:rPr>
        <w:t>.0</w:t>
      </w:r>
      <w:r w:rsidR="00761403">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Silverlight</w:t>
      </w:r>
      <w:proofErr w:type="spellEnd"/>
      <w:r>
        <w:rPr>
          <w:rFonts w:ascii="Times New Roman" w:hAnsi="Times New Roman" w:cs="Times New Roman"/>
          <w:sz w:val="20"/>
          <w:szCs w:val="20"/>
          <w:lang w:eastAsia="tr-TR"/>
        </w:rPr>
        <w:t xml:space="preserve"> 5.0 üzerinde </w:t>
      </w:r>
      <w:r w:rsidR="00F40994">
        <w:rPr>
          <w:rFonts w:ascii="Times New Roman" w:hAnsi="Times New Roman" w:cs="Times New Roman"/>
          <w:sz w:val="20"/>
          <w:szCs w:val="20"/>
          <w:lang w:eastAsia="tr-TR"/>
        </w:rPr>
        <w:t xml:space="preserve">C# dilinde </w:t>
      </w:r>
      <w:r w:rsidR="00D21B44">
        <w:rPr>
          <w:rFonts w:ascii="Times New Roman" w:hAnsi="Times New Roman" w:cs="Times New Roman"/>
          <w:sz w:val="20"/>
          <w:szCs w:val="20"/>
          <w:lang w:eastAsia="tr-TR"/>
        </w:rPr>
        <w:t>uygulama geliştirilmiştir.</w:t>
      </w:r>
    </w:p>
    <w:p w:rsidR="00AD0348" w:rsidRDefault="00BB4376" w:rsidP="00DA211A">
      <w:pPr>
        <w:ind w:firstLine="284"/>
        <w:jc w:val="both"/>
        <w:rPr>
          <w:rFonts w:ascii="Times New Roman" w:hAnsi="Times New Roman" w:cs="Times New Roman"/>
          <w:sz w:val="20"/>
          <w:szCs w:val="20"/>
          <w:lang w:eastAsia="tr-TR"/>
        </w:rPr>
      </w:pPr>
      <w:r w:rsidRPr="00BB4376">
        <w:rPr>
          <w:rFonts w:ascii="Times New Roman" w:hAnsi="Times New Roman" w:cs="Times New Roman"/>
          <w:sz w:val="20"/>
          <w:szCs w:val="20"/>
          <w:lang w:eastAsia="tr-TR"/>
        </w:rPr>
        <w:t xml:space="preserve">MEGSİS kapsamında yapılan 3 ana başlık altında toplanmaktadır. </w:t>
      </w:r>
    </w:p>
    <w:p w:rsidR="00AD0348" w:rsidRDefault="00AD0348" w:rsidP="00BB4376">
      <w:pPr>
        <w:jc w:val="both"/>
        <w:rPr>
          <w:rFonts w:ascii="Times New Roman" w:hAnsi="Times New Roman" w:cs="Times New Roman"/>
          <w:sz w:val="20"/>
          <w:szCs w:val="20"/>
          <w:lang w:eastAsia="tr-TR"/>
        </w:rPr>
      </w:pPr>
    </w:p>
    <w:p w:rsidR="00AD0348" w:rsidRPr="00621F2A" w:rsidRDefault="00BB4376" w:rsidP="00621F2A">
      <w:pPr>
        <w:pStyle w:val="ListeParagraf"/>
        <w:numPr>
          <w:ilvl w:val="0"/>
          <w:numId w:val="13"/>
        </w:numPr>
        <w:ind w:left="709" w:hanging="349"/>
        <w:jc w:val="both"/>
        <w:rPr>
          <w:rFonts w:ascii="Times New Roman" w:hAnsi="Times New Roman" w:cs="Times New Roman"/>
          <w:sz w:val="20"/>
          <w:szCs w:val="20"/>
          <w:lang w:eastAsia="tr-TR"/>
        </w:rPr>
      </w:pPr>
      <w:r w:rsidRPr="00621F2A">
        <w:rPr>
          <w:rFonts w:ascii="Times New Roman" w:hAnsi="Times New Roman" w:cs="Times New Roman"/>
          <w:sz w:val="20"/>
          <w:szCs w:val="20"/>
          <w:lang w:eastAsia="tr-TR"/>
        </w:rPr>
        <w:t>Web tabanlı uygulama yazılımı,</w:t>
      </w:r>
    </w:p>
    <w:p w:rsidR="00AD0348" w:rsidRDefault="00BB4376" w:rsidP="00621F2A">
      <w:pPr>
        <w:pStyle w:val="ListeParagraf"/>
        <w:numPr>
          <w:ilvl w:val="0"/>
          <w:numId w:val="13"/>
        </w:numPr>
        <w:ind w:left="709" w:hanging="349"/>
        <w:jc w:val="both"/>
        <w:rPr>
          <w:rFonts w:ascii="Times New Roman" w:hAnsi="Times New Roman" w:cs="Times New Roman"/>
          <w:sz w:val="20"/>
          <w:szCs w:val="20"/>
          <w:lang w:eastAsia="tr-TR"/>
        </w:rPr>
      </w:pPr>
      <w:r w:rsidRPr="00BB4376">
        <w:rPr>
          <w:rFonts w:ascii="Times New Roman" w:hAnsi="Times New Roman" w:cs="Times New Roman"/>
          <w:sz w:val="20"/>
          <w:szCs w:val="20"/>
          <w:lang w:eastAsia="tr-TR"/>
        </w:rPr>
        <w:t>Uluslararası standartlarda harita servisleri,</w:t>
      </w:r>
    </w:p>
    <w:p w:rsidR="00BB4376" w:rsidRPr="00BB4376" w:rsidRDefault="00BB4376" w:rsidP="00621F2A">
      <w:pPr>
        <w:pStyle w:val="ListeParagraf"/>
        <w:numPr>
          <w:ilvl w:val="0"/>
          <w:numId w:val="13"/>
        </w:numPr>
        <w:ind w:left="709" w:hanging="349"/>
        <w:jc w:val="both"/>
        <w:rPr>
          <w:rFonts w:ascii="Times New Roman" w:hAnsi="Times New Roman" w:cs="Times New Roman"/>
          <w:sz w:val="20"/>
          <w:szCs w:val="20"/>
          <w:lang w:eastAsia="tr-TR"/>
        </w:rPr>
      </w:pPr>
      <w:r w:rsidRPr="00BB4376">
        <w:rPr>
          <w:rFonts w:ascii="Times New Roman" w:hAnsi="Times New Roman" w:cs="Times New Roman"/>
          <w:sz w:val="20"/>
          <w:szCs w:val="20"/>
          <w:lang w:eastAsia="tr-TR"/>
        </w:rPr>
        <w:t xml:space="preserve">E-Devlet </w:t>
      </w:r>
      <w:r w:rsidR="0093010D">
        <w:rPr>
          <w:rFonts w:ascii="Times New Roman" w:hAnsi="Times New Roman" w:cs="Times New Roman"/>
          <w:sz w:val="20"/>
          <w:szCs w:val="20"/>
          <w:lang w:eastAsia="tr-TR"/>
        </w:rPr>
        <w:t xml:space="preserve">harita </w:t>
      </w:r>
      <w:r w:rsidRPr="00BB4376">
        <w:rPr>
          <w:rFonts w:ascii="Times New Roman" w:hAnsi="Times New Roman" w:cs="Times New Roman"/>
          <w:sz w:val="20"/>
          <w:szCs w:val="20"/>
          <w:lang w:eastAsia="tr-TR"/>
        </w:rPr>
        <w:t>servisleri.</w:t>
      </w:r>
    </w:p>
    <w:p w:rsidR="00BB4376" w:rsidRPr="00BB4376" w:rsidRDefault="00BB4376" w:rsidP="00BB4376">
      <w:pPr>
        <w:jc w:val="both"/>
        <w:rPr>
          <w:rFonts w:ascii="Times New Roman" w:hAnsi="Times New Roman" w:cs="Times New Roman"/>
          <w:sz w:val="20"/>
          <w:szCs w:val="20"/>
          <w:lang w:eastAsia="tr-TR"/>
        </w:rPr>
      </w:pPr>
    </w:p>
    <w:p w:rsidR="00DA211A" w:rsidRDefault="00BB4376" w:rsidP="00DA211A">
      <w:pPr>
        <w:ind w:firstLine="284"/>
        <w:jc w:val="both"/>
        <w:rPr>
          <w:rFonts w:ascii="Times New Roman" w:hAnsi="Times New Roman" w:cs="Times New Roman"/>
          <w:sz w:val="20"/>
          <w:szCs w:val="20"/>
          <w:lang w:eastAsia="tr-TR"/>
        </w:rPr>
      </w:pPr>
      <w:r w:rsidRPr="00BB4376">
        <w:rPr>
          <w:rFonts w:ascii="Times New Roman" w:hAnsi="Times New Roman" w:cs="Times New Roman"/>
          <w:sz w:val="20"/>
          <w:szCs w:val="20"/>
          <w:lang w:eastAsia="tr-TR"/>
        </w:rPr>
        <w:t xml:space="preserve">i) Web tabanlı uygulama yazılımı, uygulamanın farklı düzeylerde ve ihtiyaçlarda kullanımını sağlayan ve yöneten </w:t>
      </w:r>
      <w:proofErr w:type="spellStart"/>
      <w:r w:rsidRPr="00BB4376">
        <w:rPr>
          <w:rFonts w:ascii="Times New Roman" w:hAnsi="Times New Roman" w:cs="Times New Roman"/>
          <w:sz w:val="20"/>
          <w:szCs w:val="20"/>
          <w:lang w:eastAsia="tr-TR"/>
        </w:rPr>
        <w:t>kimliklendirme</w:t>
      </w:r>
      <w:proofErr w:type="spellEnd"/>
      <w:r w:rsidRPr="00BB4376">
        <w:rPr>
          <w:rFonts w:ascii="Times New Roman" w:hAnsi="Times New Roman" w:cs="Times New Roman"/>
          <w:sz w:val="20"/>
          <w:szCs w:val="20"/>
          <w:lang w:eastAsia="tr-TR"/>
        </w:rPr>
        <w:t xml:space="preserve">/yetkilendirme çatısı altında, iç ve dış kullanıcıların sisteme veri girişi, veri indirme, tapu verileri ile </w:t>
      </w:r>
      <w:proofErr w:type="gramStart"/>
      <w:r w:rsidRPr="00BB4376">
        <w:rPr>
          <w:rFonts w:ascii="Times New Roman" w:hAnsi="Times New Roman" w:cs="Times New Roman"/>
          <w:sz w:val="20"/>
          <w:szCs w:val="20"/>
          <w:lang w:eastAsia="tr-TR"/>
        </w:rPr>
        <w:t>entegrasyon</w:t>
      </w:r>
      <w:proofErr w:type="gramEnd"/>
      <w:r w:rsidRPr="00BB4376">
        <w:rPr>
          <w:rFonts w:ascii="Times New Roman" w:hAnsi="Times New Roman" w:cs="Times New Roman"/>
          <w:sz w:val="20"/>
          <w:szCs w:val="20"/>
          <w:lang w:eastAsia="tr-TR"/>
        </w:rPr>
        <w:t xml:space="preserve"> işlemleri ve sorgulamaları, yapılan işlerin kontrol ve takibini içeren modüllerden oluşmaktadır.</w:t>
      </w:r>
      <w:r w:rsidR="00DA211A">
        <w:rPr>
          <w:rFonts w:ascii="Times New Roman" w:hAnsi="Times New Roman" w:cs="Times New Roman"/>
          <w:sz w:val="20"/>
          <w:szCs w:val="20"/>
          <w:lang w:eastAsia="tr-TR"/>
        </w:rPr>
        <w:t xml:space="preserve"> </w:t>
      </w:r>
      <w:r w:rsidR="00DA211A" w:rsidRPr="00DC1EA9">
        <w:rPr>
          <w:rFonts w:ascii="Times New Roman" w:hAnsi="Times New Roman" w:cs="Times New Roman"/>
          <w:sz w:val="20"/>
          <w:szCs w:val="20"/>
          <w:lang w:eastAsia="tr-TR"/>
        </w:rPr>
        <w:t>Bu kapsamda;</w:t>
      </w:r>
    </w:p>
    <w:p w:rsidR="00DA211A" w:rsidRPr="00DC1EA9" w:rsidRDefault="00DA211A" w:rsidP="00DA211A">
      <w:pPr>
        <w:jc w:val="both"/>
        <w:rPr>
          <w:rFonts w:ascii="Times New Roman" w:hAnsi="Times New Roman" w:cs="Times New Roman"/>
          <w:sz w:val="20"/>
          <w:szCs w:val="20"/>
          <w:lang w:eastAsia="tr-TR"/>
        </w:rPr>
      </w:pPr>
    </w:p>
    <w:p w:rsidR="00DA211A" w:rsidRPr="00DC1EA9" w:rsidRDefault="00DA211A" w:rsidP="00DA211A">
      <w:pPr>
        <w:pStyle w:val="ListeParagraf"/>
        <w:numPr>
          <w:ilvl w:val="0"/>
          <w:numId w:val="12"/>
        </w:numPr>
        <w:jc w:val="both"/>
        <w:rPr>
          <w:rFonts w:ascii="Times New Roman" w:hAnsi="Times New Roman" w:cs="Times New Roman"/>
          <w:sz w:val="20"/>
          <w:szCs w:val="20"/>
          <w:lang w:eastAsia="tr-TR"/>
        </w:rPr>
      </w:pPr>
      <w:r w:rsidRPr="00DC1EA9">
        <w:rPr>
          <w:rFonts w:ascii="Times New Roman" w:hAnsi="Times New Roman" w:cs="Times New Roman"/>
          <w:sz w:val="20"/>
          <w:szCs w:val="20"/>
          <w:lang w:eastAsia="tr-TR"/>
        </w:rPr>
        <w:t>Tapu ve kadastro verilerinin karşılık olarak kontrol edilmesi,</w:t>
      </w:r>
    </w:p>
    <w:p w:rsidR="00DA211A" w:rsidRPr="00DC1EA9" w:rsidRDefault="00DA211A" w:rsidP="00DA211A">
      <w:pPr>
        <w:pStyle w:val="ListeParagraf"/>
        <w:numPr>
          <w:ilvl w:val="0"/>
          <w:numId w:val="12"/>
        </w:numPr>
        <w:jc w:val="both"/>
        <w:rPr>
          <w:rFonts w:ascii="Times New Roman" w:hAnsi="Times New Roman" w:cs="Times New Roman"/>
          <w:sz w:val="20"/>
          <w:szCs w:val="20"/>
          <w:lang w:eastAsia="tr-TR"/>
        </w:rPr>
      </w:pPr>
      <w:r w:rsidRPr="00DC1EA9">
        <w:rPr>
          <w:rFonts w:ascii="Times New Roman" w:hAnsi="Times New Roman" w:cs="Times New Roman"/>
          <w:sz w:val="20"/>
          <w:szCs w:val="20"/>
          <w:lang w:eastAsia="tr-TR"/>
        </w:rPr>
        <w:t>Öznitelik bilgilerinin toplanması,</w:t>
      </w:r>
    </w:p>
    <w:p w:rsidR="00DA211A" w:rsidRPr="00DC1EA9" w:rsidRDefault="00DA211A" w:rsidP="00DA211A">
      <w:pPr>
        <w:pStyle w:val="ListeParagraf"/>
        <w:numPr>
          <w:ilvl w:val="0"/>
          <w:numId w:val="12"/>
        </w:numPr>
        <w:jc w:val="both"/>
        <w:rPr>
          <w:rFonts w:ascii="Times New Roman" w:hAnsi="Times New Roman" w:cs="Times New Roman"/>
          <w:sz w:val="20"/>
          <w:szCs w:val="20"/>
          <w:lang w:eastAsia="tr-TR"/>
        </w:rPr>
      </w:pPr>
      <w:r w:rsidRPr="00DC1EA9">
        <w:rPr>
          <w:rFonts w:ascii="Times New Roman" w:hAnsi="Times New Roman" w:cs="Times New Roman"/>
          <w:sz w:val="20"/>
          <w:szCs w:val="20"/>
          <w:lang w:eastAsia="tr-TR"/>
        </w:rPr>
        <w:t>ITRF96 koordinat sisteminde bütünlenmesi ve sunulması,</w:t>
      </w:r>
    </w:p>
    <w:p w:rsidR="00DA211A" w:rsidRPr="00DC1EA9" w:rsidRDefault="00DA211A" w:rsidP="00DA211A">
      <w:pPr>
        <w:pStyle w:val="ListeParagraf"/>
        <w:numPr>
          <w:ilvl w:val="0"/>
          <w:numId w:val="12"/>
        </w:numPr>
        <w:jc w:val="both"/>
        <w:rPr>
          <w:rFonts w:ascii="Times New Roman" w:hAnsi="Times New Roman" w:cs="Times New Roman"/>
          <w:sz w:val="20"/>
          <w:szCs w:val="20"/>
          <w:lang w:eastAsia="tr-TR"/>
        </w:rPr>
      </w:pPr>
      <w:r w:rsidRPr="00DC1EA9">
        <w:rPr>
          <w:rFonts w:ascii="Times New Roman" w:hAnsi="Times New Roman" w:cs="Times New Roman"/>
          <w:sz w:val="20"/>
          <w:szCs w:val="20"/>
          <w:lang w:eastAsia="tr-TR"/>
        </w:rPr>
        <w:t>Hava görüntüleri (</w:t>
      </w:r>
      <w:proofErr w:type="spellStart"/>
      <w:r w:rsidRPr="00DC1EA9">
        <w:rPr>
          <w:rFonts w:ascii="Times New Roman" w:hAnsi="Times New Roman" w:cs="Times New Roman"/>
          <w:sz w:val="20"/>
          <w:szCs w:val="20"/>
          <w:lang w:eastAsia="tr-TR"/>
        </w:rPr>
        <w:t>ortofoto</w:t>
      </w:r>
      <w:proofErr w:type="spellEnd"/>
      <w:r w:rsidRPr="00DC1EA9">
        <w:rPr>
          <w:rFonts w:ascii="Times New Roman" w:hAnsi="Times New Roman" w:cs="Times New Roman"/>
          <w:sz w:val="20"/>
          <w:szCs w:val="20"/>
          <w:lang w:eastAsia="tr-TR"/>
        </w:rPr>
        <w:t xml:space="preserve"> ve </w:t>
      </w:r>
      <w:proofErr w:type="spellStart"/>
      <w:r w:rsidRPr="00DC1EA9">
        <w:rPr>
          <w:rFonts w:ascii="Times New Roman" w:hAnsi="Times New Roman" w:cs="Times New Roman"/>
          <w:sz w:val="20"/>
          <w:szCs w:val="20"/>
          <w:lang w:eastAsia="tr-TR"/>
        </w:rPr>
        <w:t>googlemaps</w:t>
      </w:r>
      <w:proofErr w:type="spellEnd"/>
      <w:r w:rsidRPr="00DC1EA9">
        <w:rPr>
          <w:rFonts w:ascii="Times New Roman" w:hAnsi="Times New Roman" w:cs="Times New Roman"/>
          <w:sz w:val="20"/>
          <w:szCs w:val="20"/>
          <w:lang w:eastAsia="tr-TR"/>
        </w:rPr>
        <w:t>) kullanılarak doğrulanması,</w:t>
      </w:r>
    </w:p>
    <w:p w:rsidR="00DA211A" w:rsidRPr="00DC1EA9" w:rsidRDefault="00DA211A" w:rsidP="00DA211A">
      <w:pPr>
        <w:pStyle w:val="ListeParagraf"/>
        <w:numPr>
          <w:ilvl w:val="0"/>
          <w:numId w:val="12"/>
        </w:numPr>
        <w:jc w:val="both"/>
        <w:rPr>
          <w:rFonts w:ascii="Times New Roman" w:hAnsi="Times New Roman" w:cs="Times New Roman"/>
          <w:sz w:val="20"/>
          <w:szCs w:val="20"/>
          <w:lang w:eastAsia="tr-TR"/>
        </w:rPr>
      </w:pPr>
      <w:r w:rsidRPr="00DC1EA9">
        <w:rPr>
          <w:rFonts w:ascii="Times New Roman" w:hAnsi="Times New Roman" w:cs="Times New Roman"/>
          <w:sz w:val="20"/>
          <w:szCs w:val="20"/>
          <w:lang w:eastAsia="tr-TR"/>
        </w:rPr>
        <w:t>Kontrol sorgulamaları ile veri kalitesinin artırılması,</w:t>
      </w:r>
    </w:p>
    <w:p w:rsidR="00DA211A" w:rsidRPr="007E01A0" w:rsidRDefault="00DA211A" w:rsidP="00DA211A">
      <w:pPr>
        <w:pStyle w:val="ListeParagraf"/>
        <w:numPr>
          <w:ilvl w:val="0"/>
          <w:numId w:val="12"/>
        </w:numPr>
        <w:jc w:val="both"/>
        <w:rPr>
          <w:rFonts w:ascii="Times New Roman" w:hAnsi="Times New Roman" w:cs="Times New Roman"/>
          <w:sz w:val="20"/>
          <w:szCs w:val="20"/>
          <w:lang w:eastAsia="tr-TR"/>
        </w:rPr>
      </w:pPr>
      <w:r w:rsidRPr="007E01A0">
        <w:rPr>
          <w:rFonts w:ascii="Times New Roman" w:hAnsi="Times New Roman" w:cs="Times New Roman"/>
          <w:sz w:val="20"/>
          <w:szCs w:val="20"/>
          <w:lang w:eastAsia="tr-TR"/>
        </w:rPr>
        <w:t>Verilerin güncel olarak tutulması sağlanmaktadır.</w:t>
      </w:r>
    </w:p>
    <w:p w:rsidR="00BB4376" w:rsidRDefault="00BB4376" w:rsidP="00DA211A">
      <w:pPr>
        <w:ind w:firstLine="284"/>
        <w:jc w:val="both"/>
        <w:rPr>
          <w:rFonts w:ascii="Times New Roman" w:hAnsi="Times New Roman" w:cs="Times New Roman"/>
          <w:sz w:val="20"/>
          <w:szCs w:val="20"/>
          <w:lang w:eastAsia="tr-TR"/>
        </w:rPr>
      </w:pPr>
    </w:p>
    <w:p w:rsidR="00D76A51" w:rsidRPr="00BB4376" w:rsidRDefault="00D76A51" w:rsidP="00BB4376">
      <w:pPr>
        <w:jc w:val="both"/>
        <w:rPr>
          <w:rFonts w:ascii="Times New Roman" w:hAnsi="Times New Roman" w:cs="Times New Roman"/>
          <w:sz w:val="20"/>
          <w:szCs w:val="20"/>
          <w:lang w:eastAsia="tr-TR"/>
        </w:rPr>
      </w:pPr>
    </w:p>
    <w:p w:rsidR="00BB4376" w:rsidRDefault="003F4717" w:rsidP="003F4717">
      <w:pPr>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4320000" cy="2340000"/>
            <wp:effectExtent l="0" t="0" r="4445" b="3175"/>
            <wp:docPr id="33" name="Resim 33" descr="C:\Users\myasinoz\Desktop\Adsız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myasinoz\Desktop\Adsız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a:noFill/>
                    </a:ln>
                  </pic:spPr>
                </pic:pic>
              </a:graphicData>
            </a:graphic>
          </wp:inline>
        </w:drawing>
      </w:r>
      <w:r>
        <w:rPr>
          <w:rFonts w:ascii="Times New Roman" w:hAnsi="Times New Roman" w:cs="Times New Roman"/>
          <w:sz w:val="20"/>
          <w:szCs w:val="20"/>
          <w:lang w:eastAsia="tr-TR"/>
        </w:rPr>
        <w:br/>
      </w:r>
    </w:p>
    <w:p w:rsidR="003F4717" w:rsidRPr="00AB0F97" w:rsidRDefault="003F4717" w:rsidP="003F4717">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sidR="0056388A">
        <w:rPr>
          <w:rFonts w:ascii="Arial" w:hAnsi="Arial" w:cs="Arial"/>
          <w:i/>
          <w:sz w:val="18"/>
          <w:szCs w:val="18"/>
        </w:rPr>
        <w:t>Web Tabanlı Uygulama Yazılımı</w:t>
      </w:r>
    </w:p>
    <w:p w:rsidR="003F4717" w:rsidRDefault="003F4717" w:rsidP="003F4717">
      <w:pPr>
        <w:rPr>
          <w:rFonts w:ascii="Times New Roman" w:hAnsi="Times New Roman" w:cs="Times New Roman"/>
          <w:sz w:val="20"/>
          <w:szCs w:val="20"/>
          <w:lang w:eastAsia="tr-TR"/>
        </w:rPr>
      </w:pPr>
    </w:p>
    <w:p w:rsidR="00947E06" w:rsidRDefault="00BB4376" w:rsidP="00DA211A">
      <w:pPr>
        <w:ind w:firstLine="284"/>
        <w:jc w:val="both"/>
        <w:rPr>
          <w:rFonts w:ascii="Times New Roman" w:hAnsi="Times New Roman" w:cs="Times New Roman"/>
          <w:sz w:val="20"/>
          <w:szCs w:val="20"/>
          <w:lang w:eastAsia="tr-TR"/>
        </w:rPr>
      </w:pPr>
      <w:proofErr w:type="gramStart"/>
      <w:r w:rsidRPr="00BB4376">
        <w:rPr>
          <w:rFonts w:ascii="Times New Roman" w:hAnsi="Times New Roman" w:cs="Times New Roman"/>
          <w:sz w:val="20"/>
          <w:szCs w:val="20"/>
          <w:lang w:eastAsia="tr-TR"/>
        </w:rPr>
        <w:lastRenderedPageBreak/>
        <w:t xml:space="preserve">ii) Uluslararası standartlarda harita servisleri, MEGSİS kapsamında toplanan kadastro verilerinin protokoller kapsamında talep eden kurum, kuruluş ve belediyeler ile </w:t>
      </w:r>
      <w:r w:rsidR="00947E06" w:rsidRPr="00947E06">
        <w:rPr>
          <w:rFonts w:ascii="Times New Roman" w:hAnsi="Times New Roman" w:cs="Times New Roman"/>
          <w:sz w:val="20"/>
          <w:szCs w:val="20"/>
          <w:lang w:eastAsia="tr-TR"/>
        </w:rPr>
        <w:t xml:space="preserve">Open </w:t>
      </w:r>
      <w:proofErr w:type="spellStart"/>
      <w:r w:rsidR="00947E06" w:rsidRPr="00947E06">
        <w:rPr>
          <w:rFonts w:ascii="Times New Roman" w:hAnsi="Times New Roman" w:cs="Times New Roman"/>
          <w:sz w:val="20"/>
          <w:szCs w:val="20"/>
          <w:lang w:eastAsia="tr-TR"/>
        </w:rPr>
        <w:t>Geospatial</w:t>
      </w:r>
      <w:proofErr w:type="spellEnd"/>
      <w:r w:rsidR="00947E06" w:rsidRPr="00947E06">
        <w:rPr>
          <w:rFonts w:ascii="Times New Roman" w:hAnsi="Times New Roman" w:cs="Times New Roman"/>
          <w:sz w:val="20"/>
          <w:szCs w:val="20"/>
          <w:lang w:eastAsia="tr-TR"/>
        </w:rPr>
        <w:t xml:space="preserve"> </w:t>
      </w:r>
      <w:proofErr w:type="spellStart"/>
      <w:r w:rsidR="00947E06" w:rsidRPr="00947E06">
        <w:rPr>
          <w:rFonts w:ascii="Times New Roman" w:hAnsi="Times New Roman" w:cs="Times New Roman"/>
          <w:sz w:val="20"/>
          <w:szCs w:val="20"/>
          <w:lang w:eastAsia="tr-TR"/>
        </w:rPr>
        <w:t>Consortium</w:t>
      </w:r>
      <w:proofErr w:type="spellEnd"/>
      <w:r w:rsidR="00947E06" w:rsidRPr="00947E06">
        <w:rPr>
          <w:rFonts w:ascii="Times New Roman" w:hAnsi="Times New Roman" w:cs="Times New Roman"/>
          <w:sz w:val="20"/>
          <w:szCs w:val="20"/>
          <w:lang w:eastAsia="tr-TR"/>
        </w:rPr>
        <w:t xml:space="preserve"> </w:t>
      </w:r>
      <w:r w:rsidR="00947E06">
        <w:rPr>
          <w:rFonts w:ascii="Times New Roman" w:hAnsi="Times New Roman" w:cs="Times New Roman"/>
          <w:sz w:val="20"/>
          <w:szCs w:val="20"/>
          <w:lang w:eastAsia="tr-TR"/>
        </w:rPr>
        <w:t xml:space="preserve">(OGC) ve </w:t>
      </w:r>
      <w:r w:rsidR="00947E06" w:rsidRPr="00947E06">
        <w:rPr>
          <w:rFonts w:ascii="Times New Roman" w:hAnsi="Times New Roman" w:cs="Times New Roman"/>
          <w:sz w:val="20"/>
          <w:szCs w:val="20"/>
          <w:lang w:eastAsia="tr-TR"/>
        </w:rPr>
        <w:t xml:space="preserve">DPT Bilgi Toplumu Dairesi tarafından üretilmiş olan Birlikte Çalışabilirlik Esasları Rehberinde belirlenen </w:t>
      </w:r>
      <w:r w:rsidR="0030127F">
        <w:rPr>
          <w:rFonts w:ascii="Times New Roman" w:hAnsi="Times New Roman" w:cs="Times New Roman"/>
          <w:sz w:val="20"/>
          <w:szCs w:val="20"/>
          <w:lang w:eastAsia="tr-TR"/>
        </w:rPr>
        <w:t>standartlara uygun olarak,</w:t>
      </w:r>
      <w:r w:rsidRPr="00BB4376">
        <w:rPr>
          <w:rFonts w:ascii="Times New Roman" w:hAnsi="Times New Roman" w:cs="Times New Roman"/>
          <w:sz w:val="20"/>
          <w:szCs w:val="20"/>
          <w:lang w:eastAsia="tr-TR"/>
        </w:rPr>
        <w:t xml:space="preserve"> açık kaynak ve ticari ürünl</w:t>
      </w:r>
      <w:r w:rsidR="0030127F">
        <w:rPr>
          <w:rFonts w:ascii="Times New Roman" w:hAnsi="Times New Roman" w:cs="Times New Roman"/>
          <w:sz w:val="20"/>
          <w:szCs w:val="20"/>
          <w:lang w:eastAsia="tr-TR"/>
        </w:rPr>
        <w:t>er ile test edilmiş bir şekilde</w:t>
      </w:r>
      <w:r w:rsidRPr="00BB4376">
        <w:rPr>
          <w:rFonts w:ascii="Times New Roman" w:hAnsi="Times New Roman" w:cs="Times New Roman"/>
          <w:sz w:val="20"/>
          <w:szCs w:val="20"/>
          <w:lang w:eastAsia="tr-TR"/>
        </w:rPr>
        <w:t xml:space="preserve"> paylaşımı sağlanmaktadır.  </w:t>
      </w:r>
      <w:proofErr w:type="gramEnd"/>
    </w:p>
    <w:p w:rsidR="006D35BF" w:rsidRDefault="006D35BF" w:rsidP="00BB4376">
      <w:pPr>
        <w:jc w:val="both"/>
        <w:rPr>
          <w:rFonts w:ascii="Times New Roman" w:hAnsi="Times New Roman" w:cs="Times New Roman"/>
          <w:sz w:val="20"/>
          <w:szCs w:val="20"/>
          <w:lang w:eastAsia="tr-TR"/>
        </w:rPr>
      </w:pPr>
    </w:p>
    <w:p w:rsidR="001D7159" w:rsidRDefault="001D7159" w:rsidP="00BB4376">
      <w:pPr>
        <w:jc w:val="both"/>
        <w:rPr>
          <w:rFonts w:ascii="Times New Roman" w:hAnsi="Times New Roman" w:cs="Times New Roman"/>
          <w:sz w:val="20"/>
          <w:szCs w:val="20"/>
          <w:lang w:eastAsia="tr-TR"/>
        </w:rPr>
      </w:pPr>
    </w:p>
    <w:p w:rsidR="00853944" w:rsidRDefault="00CE6DBC" w:rsidP="00085162">
      <w:pPr>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4320000" cy="2340000"/>
            <wp:effectExtent l="19050" t="19050" r="23495" b="22225"/>
            <wp:docPr id="39" name="Resim 39" descr="C:\Users\myasinoz\Desktop\Untitled-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myasinoz\Desktop\Untitled-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a:solidFill>
                        <a:schemeClr val="bg1">
                          <a:lumMod val="75000"/>
                        </a:schemeClr>
                      </a:solidFill>
                    </a:ln>
                  </pic:spPr>
                </pic:pic>
              </a:graphicData>
            </a:graphic>
          </wp:inline>
        </w:drawing>
      </w:r>
    </w:p>
    <w:p w:rsidR="00410780" w:rsidRDefault="00410780" w:rsidP="00085162">
      <w:pPr>
        <w:rPr>
          <w:rFonts w:ascii="Times New Roman" w:hAnsi="Times New Roman" w:cs="Times New Roman"/>
          <w:sz w:val="20"/>
          <w:szCs w:val="20"/>
          <w:lang w:eastAsia="tr-TR"/>
        </w:rPr>
      </w:pPr>
    </w:p>
    <w:p w:rsidR="00410780" w:rsidRDefault="00410780" w:rsidP="00085162">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Pr>
          <w:rFonts w:ascii="Arial" w:hAnsi="Arial" w:cs="Arial"/>
          <w:i/>
          <w:sz w:val="18"/>
          <w:szCs w:val="18"/>
        </w:rPr>
        <w:t>Uluslararası standartlarda harita servisleri</w:t>
      </w:r>
    </w:p>
    <w:p w:rsidR="00042516" w:rsidRDefault="00042516" w:rsidP="00085162">
      <w:pPr>
        <w:rPr>
          <w:rFonts w:ascii="Arial" w:hAnsi="Arial" w:cs="Arial"/>
          <w:i/>
          <w:sz w:val="18"/>
          <w:szCs w:val="18"/>
        </w:rPr>
      </w:pPr>
    </w:p>
    <w:p w:rsidR="008058B7" w:rsidRDefault="008058B7" w:rsidP="00085162">
      <w:pPr>
        <w:rPr>
          <w:rFonts w:ascii="Arial" w:hAnsi="Arial" w:cs="Arial"/>
          <w:i/>
          <w:sz w:val="18"/>
          <w:szCs w:val="18"/>
        </w:rPr>
      </w:pPr>
    </w:p>
    <w:p w:rsidR="008058B7" w:rsidRDefault="008058B7" w:rsidP="00DA211A">
      <w:pPr>
        <w:ind w:firstLine="284"/>
        <w:jc w:val="both"/>
        <w:rPr>
          <w:rFonts w:ascii="Times New Roman" w:hAnsi="Times New Roman" w:cs="Times New Roman"/>
          <w:sz w:val="20"/>
          <w:szCs w:val="20"/>
          <w:lang w:eastAsia="tr-TR"/>
        </w:rPr>
      </w:pPr>
      <w:r w:rsidRPr="00040A28">
        <w:rPr>
          <w:rFonts w:ascii="Times New Roman" w:hAnsi="Times New Roman" w:cs="Times New Roman"/>
          <w:sz w:val="20"/>
          <w:szCs w:val="20"/>
          <w:lang w:eastAsia="tr-TR"/>
        </w:rPr>
        <w:t>Tablo 1’de görüldüğü şekilde 20 kurum, kuruluş ve belediye ile kadastro bilgileri harita servisleri aracılığı ile paylaşılmaktadır. Aylık olarak ortalama servis talep (</w:t>
      </w:r>
      <w:proofErr w:type="spellStart"/>
      <w:r w:rsidRPr="00040A28">
        <w:rPr>
          <w:rFonts w:ascii="Times New Roman" w:hAnsi="Times New Roman" w:cs="Times New Roman"/>
          <w:sz w:val="20"/>
          <w:szCs w:val="20"/>
          <w:lang w:eastAsia="tr-TR"/>
        </w:rPr>
        <w:t>request</w:t>
      </w:r>
      <w:proofErr w:type="spellEnd"/>
      <w:r w:rsidRPr="00040A28">
        <w:rPr>
          <w:rFonts w:ascii="Times New Roman" w:hAnsi="Times New Roman" w:cs="Times New Roman"/>
          <w:sz w:val="20"/>
          <w:szCs w:val="20"/>
          <w:lang w:eastAsia="tr-TR"/>
        </w:rPr>
        <w:t>) sayıları</w:t>
      </w:r>
      <w:r w:rsidR="004F6A3F">
        <w:rPr>
          <w:rFonts w:ascii="Times New Roman" w:hAnsi="Times New Roman" w:cs="Times New Roman"/>
          <w:sz w:val="20"/>
          <w:szCs w:val="20"/>
          <w:lang w:eastAsia="tr-TR"/>
        </w:rPr>
        <w:t>,</w:t>
      </w:r>
      <w:r w:rsidRPr="00040A28">
        <w:rPr>
          <w:rFonts w:ascii="Times New Roman" w:hAnsi="Times New Roman" w:cs="Times New Roman"/>
          <w:sz w:val="20"/>
          <w:szCs w:val="20"/>
          <w:lang w:eastAsia="tr-TR"/>
        </w:rPr>
        <w:t xml:space="preserve"> </w:t>
      </w:r>
      <w:r w:rsidR="004F6A3F">
        <w:rPr>
          <w:rFonts w:ascii="Times New Roman" w:hAnsi="Times New Roman" w:cs="Times New Roman"/>
          <w:sz w:val="20"/>
          <w:szCs w:val="20"/>
          <w:lang w:eastAsia="tr-TR"/>
        </w:rPr>
        <w:t>bu</w:t>
      </w:r>
      <w:r w:rsidR="004F6A3F" w:rsidRPr="00040A28">
        <w:rPr>
          <w:rFonts w:ascii="Times New Roman" w:hAnsi="Times New Roman" w:cs="Times New Roman"/>
          <w:sz w:val="20"/>
          <w:szCs w:val="20"/>
          <w:lang w:eastAsia="tr-TR"/>
        </w:rPr>
        <w:t xml:space="preserve"> </w:t>
      </w:r>
      <w:r w:rsidR="004F6A3F">
        <w:rPr>
          <w:rFonts w:ascii="Times New Roman" w:hAnsi="Times New Roman" w:cs="Times New Roman"/>
          <w:sz w:val="20"/>
          <w:szCs w:val="20"/>
          <w:lang w:eastAsia="tr-TR"/>
        </w:rPr>
        <w:t xml:space="preserve">taleplerin </w:t>
      </w:r>
      <w:r w:rsidRPr="00040A28">
        <w:rPr>
          <w:rFonts w:ascii="Times New Roman" w:hAnsi="Times New Roman" w:cs="Times New Roman"/>
          <w:sz w:val="20"/>
          <w:szCs w:val="20"/>
          <w:lang w:eastAsia="tr-TR"/>
        </w:rPr>
        <w:t xml:space="preserve">sistem kesintileri veya teknik sorunlarda da </w:t>
      </w:r>
      <w:r w:rsidR="008B6067" w:rsidRPr="00040A28">
        <w:rPr>
          <w:rFonts w:ascii="Times New Roman" w:hAnsi="Times New Roman" w:cs="Times New Roman"/>
          <w:sz w:val="20"/>
          <w:szCs w:val="20"/>
          <w:lang w:eastAsia="tr-TR"/>
        </w:rPr>
        <w:t>dâhil</w:t>
      </w:r>
      <w:r w:rsidRPr="00040A28">
        <w:rPr>
          <w:rFonts w:ascii="Times New Roman" w:hAnsi="Times New Roman" w:cs="Times New Roman"/>
          <w:sz w:val="20"/>
          <w:szCs w:val="20"/>
          <w:lang w:eastAsia="tr-TR"/>
        </w:rPr>
        <w:t xml:space="preserve"> olmak üzere</w:t>
      </w:r>
      <w:r w:rsidR="008B6067">
        <w:rPr>
          <w:rFonts w:ascii="Times New Roman" w:hAnsi="Times New Roman" w:cs="Times New Roman"/>
          <w:sz w:val="20"/>
          <w:szCs w:val="20"/>
          <w:lang w:eastAsia="tr-TR"/>
        </w:rPr>
        <w:t xml:space="preserve"> </w:t>
      </w:r>
      <w:r w:rsidRPr="00040A28">
        <w:rPr>
          <w:rFonts w:ascii="Times New Roman" w:hAnsi="Times New Roman" w:cs="Times New Roman"/>
          <w:sz w:val="20"/>
          <w:szCs w:val="20"/>
          <w:lang w:eastAsia="tr-TR"/>
        </w:rPr>
        <w:t xml:space="preserve">sonuçlandırma oranı yaklaşık %95 düzeyindedir. Hizmet sunum kalitesinin artırılması amacıyla donanım ve altyapı güçlendirme çalışmaları için 2013 yılı ikinci yarısında TKMP kapsamında </w:t>
      </w:r>
      <w:r w:rsidR="00AC10C8">
        <w:rPr>
          <w:rFonts w:ascii="Times New Roman" w:hAnsi="Times New Roman" w:cs="Times New Roman"/>
          <w:sz w:val="20"/>
          <w:szCs w:val="20"/>
          <w:lang w:eastAsia="tr-TR"/>
        </w:rPr>
        <w:t xml:space="preserve">karşılanmak üzere </w:t>
      </w:r>
      <w:r w:rsidR="008B6067">
        <w:rPr>
          <w:rFonts w:ascii="Times New Roman" w:hAnsi="Times New Roman" w:cs="Times New Roman"/>
          <w:sz w:val="20"/>
          <w:szCs w:val="20"/>
          <w:lang w:eastAsia="tr-TR"/>
        </w:rPr>
        <w:t>gerekli</w:t>
      </w:r>
      <w:r w:rsidRPr="00040A28">
        <w:rPr>
          <w:rFonts w:ascii="Times New Roman" w:hAnsi="Times New Roman" w:cs="Times New Roman"/>
          <w:sz w:val="20"/>
          <w:szCs w:val="20"/>
          <w:lang w:eastAsia="tr-TR"/>
        </w:rPr>
        <w:t xml:space="preserve"> </w:t>
      </w:r>
      <w:r w:rsidR="00AC10C8">
        <w:rPr>
          <w:rFonts w:ascii="Times New Roman" w:hAnsi="Times New Roman" w:cs="Times New Roman"/>
          <w:sz w:val="20"/>
          <w:szCs w:val="20"/>
          <w:lang w:eastAsia="tr-TR"/>
        </w:rPr>
        <w:t>çalışmalar yapılmıştır.</w:t>
      </w:r>
    </w:p>
    <w:p w:rsidR="00042516" w:rsidRPr="00040A28" w:rsidRDefault="00042516" w:rsidP="00040A28">
      <w:pPr>
        <w:jc w:val="both"/>
        <w:rPr>
          <w:rFonts w:ascii="Times New Roman" w:hAnsi="Times New Roman" w:cs="Times New Roman"/>
          <w:sz w:val="20"/>
          <w:szCs w:val="20"/>
          <w:lang w:eastAsia="tr-TR"/>
        </w:rPr>
      </w:pPr>
    </w:p>
    <w:p w:rsidR="008058B7" w:rsidRDefault="008058B7" w:rsidP="00085162">
      <w:pPr>
        <w:rPr>
          <w:rFonts w:ascii="Arial" w:hAnsi="Arial" w:cs="Arial"/>
          <w:i/>
          <w:sz w:val="18"/>
          <w:szCs w:val="18"/>
        </w:rPr>
      </w:pPr>
    </w:p>
    <w:p w:rsidR="008058B7" w:rsidRPr="00BB4376" w:rsidRDefault="008058B7" w:rsidP="008058B7">
      <w:pPr>
        <w:rPr>
          <w:rFonts w:ascii="Times New Roman" w:hAnsi="Times New Roman" w:cs="Times New Roman"/>
          <w:sz w:val="20"/>
          <w:szCs w:val="20"/>
          <w:lang w:eastAsia="tr-TR"/>
        </w:rPr>
      </w:pPr>
      <w:r w:rsidRPr="00A62F15">
        <w:rPr>
          <w:rFonts w:ascii="Arial" w:hAnsi="Arial" w:cs="Arial"/>
          <w:i/>
          <w:sz w:val="18"/>
          <w:szCs w:val="18"/>
        </w:rPr>
        <w:t xml:space="preserve">Tablo 1: </w:t>
      </w:r>
      <w:r>
        <w:rPr>
          <w:rFonts w:ascii="Arial" w:hAnsi="Arial" w:cs="Arial"/>
          <w:i/>
          <w:sz w:val="18"/>
          <w:szCs w:val="18"/>
        </w:rPr>
        <w:t>Kadastro Harita Servisleri Aylık Ortalama İstatistiği</w:t>
      </w:r>
    </w:p>
    <w:p w:rsidR="008058B7" w:rsidRDefault="008058B7" w:rsidP="008058B7">
      <w:pPr>
        <w:jc w:val="both"/>
        <w:rPr>
          <w:rFonts w:ascii="Times New Roman" w:hAnsi="Times New Roman" w:cs="Times New Roman"/>
          <w:sz w:val="20"/>
          <w:szCs w:val="20"/>
          <w:lang w:eastAsia="tr-TR"/>
        </w:rPr>
      </w:pPr>
    </w:p>
    <w:tbl>
      <w:tblPr>
        <w:tblStyle w:val="TabloKlavuzu"/>
        <w:tblW w:w="7824" w:type="dxa"/>
        <w:jc w:val="center"/>
        <w:tblLook w:val="04A0" w:firstRow="1" w:lastRow="0" w:firstColumn="1" w:lastColumn="0" w:noHBand="0" w:noVBand="1"/>
      </w:tblPr>
      <w:tblGrid>
        <w:gridCol w:w="1244"/>
        <w:gridCol w:w="1580"/>
        <w:gridCol w:w="1880"/>
        <w:gridCol w:w="1480"/>
        <w:gridCol w:w="1640"/>
      </w:tblGrid>
      <w:tr w:rsidR="008058B7" w:rsidRPr="001D7159" w:rsidTr="00DA211A">
        <w:trPr>
          <w:trHeight w:val="558"/>
          <w:jc w:val="center"/>
        </w:trPr>
        <w:tc>
          <w:tcPr>
            <w:tcW w:w="1244" w:type="dxa"/>
            <w:vAlign w:val="center"/>
            <w:hideMark/>
          </w:tcPr>
          <w:p w:rsidR="008058B7" w:rsidRPr="006D35BF" w:rsidRDefault="008058B7" w:rsidP="004134C1">
            <w:pPr>
              <w:rPr>
                <w:rFonts w:ascii="Times New Roman" w:hAnsi="Times New Roman" w:cs="Times New Roman"/>
                <w:b/>
                <w:sz w:val="20"/>
                <w:szCs w:val="20"/>
                <w:lang w:eastAsia="tr-TR"/>
              </w:rPr>
            </w:pPr>
            <w:r w:rsidRPr="006D35BF">
              <w:rPr>
                <w:rFonts w:ascii="Times New Roman" w:hAnsi="Times New Roman" w:cs="Times New Roman"/>
                <w:b/>
                <w:bCs/>
                <w:sz w:val="20"/>
                <w:szCs w:val="20"/>
                <w:lang w:eastAsia="tr-TR"/>
              </w:rPr>
              <w:t>Servis Tipi</w:t>
            </w:r>
          </w:p>
        </w:tc>
        <w:tc>
          <w:tcPr>
            <w:tcW w:w="1580" w:type="dxa"/>
            <w:vAlign w:val="center"/>
            <w:hideMark/>
          </w:tcPr>
          <w:p w:rsidR="008058B7" w:rsidRPr="006D35BF" w:rsidRDefault="008058B7" w:rsidP="004134C1">
            <w:pPr>
              <w:rPr>
                <w:rFonts w:ascii="Times New Roman" w:hAnsi="Times New Roman" w:cs="Times New Roman"/>
                <w:b/>
                <w:sz w:val="20"/>
                <w:szCs w:val="20"/>
                <w:lang w:eastAsia="tr-TR"/>
              </w:rPr>
            </w:pPr>
            <w:r w:rsidRPr="006D35BF">
              <w:rPr>
                <w:rFonts w:ascii="Times New Roman" w:hAnsi="Times New Roman" w:cs="Times New Roman"/>
                <w:b/>
                <w:sz w:val="20"/>
                <w:szCs w:val="20"/>
                <w:lang w:eastAsia="tr-TR"/>
              </w:rPr>
              <w:t>Cevaplanan Talep Sayısı</w:t>
            </w:r>
          </w:p>
        </w:tc>
        <w:tc>
          <w:tcPr>
            <w:tcW w:w="1880" w:type="dxa"/>
            <w:vAlign w:val="center"/>
            <w:hideMark/>
          </w:tcPr>
          <w:p w:rsidR="008058B7" w:rsidRPr="006D35BF" w:rsidRDefault="008058B7" w:rsidP="004134C1">
            <w:pPr>
              <w:rPr>
                <w:rFonts w:ascii="Times New Roman" w:hAnsi="Times New Roman" w:cs="Times New Roman"/>
                <w:b/>
                <w:sz w:val="20"/>
                <w:szCs w:val="20"/>
                <w:lang w:eastAsia="tr-TR"/>
              </w:rPr>
            </w:pPr>
            <w:r w:rsidRPr="006D35BF">
              <w:rPr>
                <w:rFonts w:ascii="Times New Roman" w:hAnsi="Times New Roman" w:cs="Times New Roman"/>
                <w:b/>
                <w:sz w:val="20"/>
                <w:szCs w:val="20"/>
                <w:lang w:eastAsia="tr-TR"/>
              </w:rPr>
              <w:t>Cevaplanamayan Talep Sayısı</w:t>
            </w:r>
          </w:p>
        </w:tc>
        <w:tc>
          <w:tcPr>
            <w:tcW w:w="1480" w:type="dxa"/>
            <w:vAlign w:val="center"/>
            <w:hideMark/>
          </w:tcPr>
          <w:p w:rsidR="008058B7" w:rsidRPr="006D35BF" w:rsidRDefault="008058B7" w:rsidP="004134C1">
            <w:pPr>
              <w:rPr>
                <w:rFonts w:ascii="Times New Roman" w:hAnsi="Times New Roman" w:cs="Times New Roman"/>
                <w:b/>
                <w:sz w:val="20"/>
                <w:szCs w:val="20"/>
                <w:lang w:eastAsia="tr-TR"/>
              </w:rPr>
            </w:pPr>
            <w:r w:rsidRPr="006D35BF">
              <w:rPr>
                <w:rFonts w:ascii="Times New Roman" w:hAnsi="Times New Roman" w:cs="Times New Roman"/>
                <w:b/>
                <w:sz w:val="20"/>
                <w:szCs w:val="20"/>
                <w:lang w:eastAsia="tr-TR"/>
              </w:rPr>
              <w:t>Toplam Talep Sayısı</w:t>
            </w:r>
          </w:p>
        </w:tc>
        <w:tc>
          <w:tcPr>
            <w:tcW w:w="1640" w:type="dxa"/>
            <w:vAlign w:val="center"/>
            <w:hideMark/>
          </w:tcPr>
          <w:p w:rsidR="008058B7" w:rsidRPr="006D35BF" w:rsidRDefault="008058B7" w:rsidP="004134C1">
            <w:pPr>
              <w:rPr>
                <w:rFonts w:ascii="Times New Roman" w:hAnsi="Times New Roman" w:cs="Times New Roman"/>
                <w:b/>
                <w:sz w:val="20"/>
                <w:szCs w:val="20"/>
                <w:lang w:eastAsia="tr-TR"/>
              </w:rPr>
            </w:pPr>
            <w:r w:rsidRPr="006D35BF">
              <w:rPr>
                <w:rFonts w:ascii="Times New Roman" w:hAnsi="Times New Roman" w:cs="Times New Roman"/>
                <w:b/>
                <w:sz w:val="20"/>
                <w:szCs w:val="20"/>
                <w:lang w:eastAsia="tr-TR"/>
              </w:rPr>
              <w:t>Başarı Oranı</w:t>
            </w:r>
          </w:p>
        </w:tc>
      </w:tr>
      <w:tr w:rsidR="008058B7" w:rsidRPr="001D7159" w:rsidTr="00DA211A">
        <w:trPr>
          <w:trHeight w:val="849"/>
          <w:jc w:val="center"/>
        </w:trPr>
        <w:tc>
          <w:tcPr>
            <w:tcW w:w="1244" w:type="dxa"/>
            <w:vAlign w:val="center"/>
            <w:hideMark/>
          </w:tcPr>
          <w:p w:rsidR="008058B7" w:rsidRPr="00BD424C" w:rsidRDefault="008058B7" w:rsidP="004134C1">
            <w:pPr>
              <w:jc w:val="left"/>
              <w:rPr>
                <w:rFonts w:ascii="Times New Roman" w:hAnsi="Times New Roman" w:cs="Times New Roman"/>
                <w:sz w:val="20"/>
                <w:szCs w:val="20"/>
                <w:lang w:eastAsia="tr-TR"/>
              </w:rPr>
            </w:pPr>
            <w:r w:rsidRPr="00BD424C">
              <w:rPr>
                <w:rFonts w:ascii="Times New Roman" w:hAnsi="Times New Roman" w:cs="Times New Roman"/>
                <w:bCs/>
                <w:sz w:val="20"/>
                <w:szCs w:val="20"/>
                <w:lang w:eastAsia="tr-TR"/>
              </w:rPr>
              <w:t>WMS</w:t>
            </w:r>
            <w:r w:rsidRPr="00BD424C">
              <w:rPr>
                <w:rFonts w:ascii="Times New Roman" w:hAnsi="Times New Roman" w:cs="Times New Roman"/>
                <w:bCs/>
                <w:sz w:val="20"/>
                <w:szCs w:val="20"/>
                <w:lang w:eastAsia="tr-TR"/>
              </w:rPr>
              <w:br/>
              <w:t xml:space="preserve">(Web </w:t>
            </w:r>
            <w:proofErr w:type="spellStart"/>
            <w:r w:rsidRPr="00BD424C">
              <w:rPr>
                <w:rFonts w:ascii="Times New Roman" w:hAnsi="Times New Roman" w:cs="Times New Roman"/>
                <w:bCs/>
                <w:sz w:val="20"/>
                <w:szCs w:val="20"/>
                <w:lang w:eastAsia="tr-TR"/>
              </w:rPr>
              <w:t>Map</w:t>
            </w:r>
            <w:proofErr w:type="spellEnd"/>
            <w:r w:rsidRPr="00BD424C">
              <w:rPr>
                <w:rFonts w:ascii="Times New Roman" w:hAnsi="Times New Roman" w:cs="Times New Roman"/>
                <w:bCs/>
                <w:sz w:val="20"/>
                <w:szCs w:val="20"/>
                <w:lang w:eastAsia="tr-TR"/>
              </w:rPr>
              <w:t xml:space="preserve"> Services)</w:t>
            </w:r>
          </w:p>
        </w:tc>
        <w:tc>
          <w:tcPr>
            <w:tcW w:w="15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727.503</w:t>
            </w:r>
          </w:p>
        </w:tc>
        <w:tc>
          <w:tcPr>
            <w:tcW w:w="18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14.869</w:t>
            </w:r>
          </w:p>
        </w:tc>
        <w:tc>
          <w:tcPr>
            <w:tcW w:w="14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742.372</w:t>
            </w:r>
          </w:p>
        </w:tc>
        <w:tc>
          <w:tcPr>
            <w:tcW w:w="164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98.00%</w:t>
            </w:r>
          </w:p>
        </w:tc>
      </w:tr>
      <w:tr w:rsidR="008058B7" w:rsidRPr="001D7159" w:rsidTr="00DA211A">
        <w:trPr>
          <w:trHeight w:val="973"/>
          <w:jc w:val="center"/>
        </w:trPr>
        <w:tc>
          <w:tcPr>
            <w:tcW w:w="1244" w:type="dxa"/>
            <w:vAlign w:val="center"/>
            <w:hideMark/>
          </w:tcPr>
          <w:p w:rsidR="008058B7" w:rsidRPr="00BD424C" w:rsidRDefault="008058B7" w:rsidP="004134C1">
            <w:pPr>
              <w:jc w:val="left"/>
              <w:rPr>
                <w:rFonts w:ascii="Times New Roman" w:hAnsi="Times New Roman" w:cs="Times New Roman"/>
                <w:sz w:val="20"/>
                <w:szCs w:val="20"/>
                <w:lang w:eastAsia="tr-TR"/>
              </w:rPr>
            </w:pPr>
            <w:r w:rsidRPr="00BD424C">
              <w:rPr>
                <w:rFonts w:ascii="Times New Roman" w:hAnsi="Times New Roman" w:cs="Times New Roman"/>
                <w:bCs/>
                <w:sz w:val="20"/>
                <w:szCs w:val="20"/>
                <w:lang w:eastAsia="tr-TR"/>
              </w:rPr>
              <w:t xml:space="preserve">WFS </w:t>
            </w:r>
            <w:r w:rsidRPr="00BD424C">
              <w:rPr>
                <w:rFonts w:ascii="Times New Roman" w:hAnsi="Times New Roman" w:cs="Times New Roman"/>
                <w:bCs/>
                <w:sz w:val="20"/>
                <w:szCs w:val="20"/>
                <w:lang w:eastAsia="tr-TR"/>
              </w:rPr>
              <w:br/>
              <w:t xml:space="preserve">(Web </w:t>
            </w:r>
            <w:proofErr w:type="spellStart"/>
            <w:r w:rsidRPr="00BD424C">
              <w:rPr>
                <w:rFonts w:ascii="Times New Roman" w:hAnsi="Times New Roman" w:cs="Times New Roman"/>
                <w:bCs/>
                <w:sz w:val="20"/>
                <w:szCs w:val="20"/>
                <w:lang w:eastAsia="tr-TR"/>
              </w:rPr>
              <w:t>Feature</w:t>
            </w:r>
            <w:proofErr w:type="spellEnd"/>
            <w:r w:rsidRPr="00BD424C">
              <w:rPr>
                <w:rFonts w:ascii="Times New Roman" w:hAnsi="Times New Roman" w:cs="Times New Roman"/>
                <w:bCs/>
                <w:sz w:val="20"/>
                <w:szCs w:val="20"/>
                <w:lang w:eastAsia="tr-TR"/>
              </w:rPr>
              <w:t xml:space="preserve"> Services)</w:t>
            </w:r>
          </w:p>
        </w:tc>
        <w:tc>
          <w:tcPr>
            <w:tcW w:w="15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3.274.579</w:t>
            </w:r>
          </w:p>
        </w:tc>
        <w:tc>
          <w:tcPr>
            <w:tcW w:w="18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192.706</w:t>
            </w:r>
          </w:p>
        </w:tc>
        <w:tc>
          <w:tcPr>
            <w:tcW w:w="14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3.467.285</w:t>
            </w:r>
          </w:p>
        </w:tc>
        <w:tc>
          <w:tcPr>
            <w:tcW w:w="164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sz w:val="20"/>
                <w:szCs w:val="20"/>
                <w:lang w:eastAsia="tr-TR"/>
              </w:rPr>
              <w:t>94,44 %</w:t>
            </w:r>
          </w:p>
        </w:tc>
      </w:tr>
      <w:tr w:rsidR="008058B7" w:rsidRPr="001D7159" w:rsidTr="00DA211A">
        <w:trPr>
          <w:trHeight w:val="531"/>
          <w:jc w:val="center"/>
        </w:trPr>
        <w:tc>
          <w:tcPr>
            <w:tcW w:w="1244" w:type="dxa"/>
            <w:vAlign w:val="center"/>
            <w:hideMark/>
          </w:tcPr>
          <w:p w:rsidR="008058B7" w:rsidRPr="001D7159" w:rsidRDefault="008058B7" w:rsidP="004134C1">
            <w:pPr>
              <w:jc w:val="left"/>
              <w:rPr>
                <w:rFonts w:ascii="Times New Roman" w:hAnsi="Times New Roman" w:cs="Times New Roman"/>
                <w:sz w:val="20"/>
                <w:szCs w:val="20"/>
                <w:lang w:eastAsia="tr-TR"/>
              </w:rPr>
            </w:pPr>
            <w:r w:rsidRPr="001D7159">
              <w:rPr>
                <w:rFonts w:ascii="Times New Roman" w:hAnsi="Times New Roman" w:cs="Times New Roman"/>
                <w:b/>
                <w:bCs/>
                <w:sz w:val="20"/>
                <w:szCs w:val="20"/>
                <w:lang w:eastAsia="tr-TR"/>
              </w:rPr>
              <w:t>TOPLAM</w:t>
            </w:r>
          </w:p>
        </w:tc>
        <w:tc>
          <w:tcPr>
            <w:tcW w:w="15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b/>
                <w:bCs/>
                <w:sz w:val="20"/>
                <w:szCs w:val="20"/>
                <w:lang w:eastAsia="tr-TR"/>
              </w:rPr>
              <w:t>4.002.082</w:t>
            </w:r>
          </w:p>
        </w:tc>
        <w:tc>
          <w:tcPr>
            <w:tcW w:w="18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b/>
                <w:bCs/>
                <w:sz w:val="20"/>
                <w:szCs w:val="20"/>
                <w:lang w:eastAsia="tr-TR"/>
              </w:rPr>
              <w:t>207.575</w:t>
            </w:r>
          </w:p>
        </w:tc>
        <w:tc>
          <w:tcPr>
            <w:tcW w:w="148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b/>
                <w:bCs/>
                <w:sz w:val="20"/>
                <w:szCs w:val="20"/>
                <w:lang w:eastAsia="tr-TR"/>
              </w:rPr>
              <w:t>4.209.657</w:t>
            </w:r>
          </w:p>
        </w:tc>
        <w:tc>
          <w:tcPr>
            <w:tcW w:w="1640" w:type="dxa"/>
            <w:vAlign w:val="center"/>
            <w:hideMark/>
          </w:tcPr>
          <w:p w:rsidR="008058B7" w:rsidRPr="001D7159" w:rsidRDefault="008058B7" w:rsidP="004134C1">
            <w:pPr>
              <w:jc w:val="right"/>
              <w:rPr>
                <w:rFonts w:ascii="Times New Roman" w:hAnsi="Times New Roman" w:cs="Times New Roman"/>
                <w:sz w:val="20"/>
                <w:szCs w:val="20"/>
                <w:lang w:eastAsia="tr-TR"/>
              </w:rPr>
            </w:pPr>
            <w:r w:rsidRPr="001D7159">
              <w:rPr>
                <w:rFonts w:ascii="Times New Roman" w:hAnsi="Times New Roman" w:cs="Times New Roman"/>
                <w:b/>
                <w:bCs/>
                <w:sz w:val="20"/>
                <w:szCs w:val="20"/>
                <w:lang w:eastAsia="tr-TR"/>
              </w:rPr>
              <w:t>95.07 %</w:t>
            </w:r>
          </w:p>
        </w:tc>
      </w:tr>
    </w:tbl>
    <w:p w:rsidR="008058B7" w:rsidRPr="00A45873" w:rsidRDefault="008058B7" w:rsidP="008058B7">
      <w:pPr>
        <w:rPr>
          <w:rFonts w:ascii="Times New Roman" w:hAnsi="Times New Roman" w:cs="Times New Roman"/>
          <w:sz w:val="16"/>
          <w:szCs w:val="20"/>
          <w:lang w:eastAsia="tr-TR"/>
        </w:rPr>
      </w:pPr>
      <w:r w:rsidRPr="00A45873">
        <w:rPr>
          <w:rFonts w:ascii="Times New Roman" w:hAnsi="Times New Roman" w:cs="Times New Roman"/>
          <w:bCs/>
          <w:sz w:val="16"/>
          <w:szCs w:val="20"/>
          <w:lang w:eastAsia="tr-TR"/>
        </w:rPr>
        <w:t>(Cevaplanamayan talep sayısı içerisine sistemden kaynaklanan kesintiler dâhil edilmiştir.)</w:t>
      </w:r>
    </w:p>
    <w:p w:rsidR="008058B7" w:rsidRDefault="008058B7" w:rsidP="00085162">
      <w:pPr>
        <w:rPr>
          <w:rFonts w:ascii="Times New Roman" w:hAnsi="Times New Roman" w:cs="Times New Roman"/>
          <w:sz w:val="20"/>
          <w:szCs w:val="20"/>
          <w:lang w:eastAsia="tr-TR"/>
        </w:rPr>
      </w:pPr>
    </w:p>
    <w:p w:rsidR="00085162" w:rsidRPr="00BB4376" w:rsidRDefault="00085162" w:rsidP="00BB4376">
      <w:pPr>
        <w:jc w:val="both"/>
        <w:rPr>
          <w:rFonts w:ascii="Times New Roman" w:hAnsi="Times New Roman" w:cs="Times New Roman"/>
          <w:sz w:val="20"/>
          <w:szCs w:val="20"/>
          <w:lang w:eastAsia="tr-TR"/>
        </w:rPr>
      </w:pPr>
    </w:p>
    <w:p w:rsidR="00BB4376" w:rsidRDefault="00BB4376" w:rsidP="00DA211A">
      <w:pPr>
        <w:ind w:firstLine="284"/>
        <w:jc w:val="both"/>
        <w:rPr>
          <w:rFonts w:ascii="Times New Roman" w:hAnsi="Times New Roman" w:cs="Times New Roman"/>
          <w:sz w:val="20"/>
          <w:szCs w:val="20"/>
          <w:lang w:eastAsia="tr-TR"/>
        </w:rPr>
      </w:pPr>
      <w:r w:rsidRPr="00BB4376">
        <w:rPr>
          <w:rFonts w:ascii="Times New Roman" w:hAnsi="Times New Roman" w:cs="Times New Roman"/>
          <w:sz w:val="20"/>
          <w:szCs w:val="20"/>
          <w:lang w:eastAsia="tr-TR"/>
        </w:rPr>
        <w:t xml:space="preserve">iii) E-Devlet </w:t>
      </w:r>
      <w:r w:rsidR="0093010D">
        <w:rPr>
          <w:rFonts w:ascii="Times New Roman" w:hAnsi="Times New Roman" w:cs="Times New Roman"/>
          <w:sz w:val="20"/>
          <w:szCs w:val="20"/>
          <w:lang w:eastAsia="tr-TR"/>
        </w:rPr>
        <w:t xml:space="preserve">harita </w:t>
      </w:r>
      <w:r w:rsidRPr="00BB4376">
        <w:rPr>
          <w:rFonts w:ascii="Times New Roman" w:hAnsi="Times New Roman" w:cs="Times New Roman"/>
          <w:sz w:val="20"/>
          <w:szCs w:val="20"/>
          <w:lang w:eastAsia="tr-TR"/>
        </w:rPr>
        <w:t xml:space="preserve">servisleri, toplanan verilerin vatandaşların bilgilendirilmesi amacıyla tapu bilgileri ile birlikte harita servisi olarak e-Devlet kapısından sunumu yapılmaktadır. Bu servisler </w:t>
      </w:r>
      <w:hyperlink r:id="rId17" w:history="1">
        <w:r w:rsidRPr="00BB4376">
          <w:rPr>
            <w:sz w:val="20"/>
            <w:szCs w:val="20"/>
            <w:lang w:eastAsia="tr-TR"/>
          </w:rPr>
          <w:t>www.turkiye.gov.tr</w:t>
        </w:r>
      </w:hyperlink>
      <w:r w:rsidRPr="00BB4376">
        <w:rPr>
          <w:rFonts w:ascii="Times New Roman" w:hAnsi="Times New Roman" w:cs="Times New Roman"/>
          <w:sz w:val="20"/>
          <w:szCs w:val="20"/>
          <w:lang w:eastAsia="tr-TR"/>
        </w:rPr>
        <w:t xml:space="preserve"> adresinden sunulan ilk ve tek coğrafi servis olma özelliğini de taşımaktadır. </w:t>
      </w:r>
    </w:p>
    <w:p w:rsidR="00AE410A" w:rsidRDefault="00AE410A" w:rsidP="00BA48FD">
      <w:pPr>
        <w:jc w:val="both"/>
        <w:rPr>
          <w:rFonts w:ascii="Times New Roman" w:hAnsi="Times New Roman" w:cs="Times New Roman"/>
          <w:sz w:val="20"/>
          <w:szCs w:val="20"/>
          <w:lang w:eastAsia="tr-TR"/>
        </w:rPr>
      </w:pPr>
    </w:p>
    <w:p w:rsidR="00BB43D4" w:rsidRDefault="009F1616" w:rsidP="00BB43D4">
      <w:pPr>
        <w:rPr>
          <w:rFonts w:ascii="Times New Roman" w:hAnsi="Times New Roman" w:cs="Times New Roman"/>
          <w:sz w:val="20"/>
          <w:szCs w:val="20"/>
          <w:lang w:eastAsia="tr-TR"/>
        </w:rPr>
      </w:pPr>
      <w:r>
        <w:rPr>
          <w:rFonts w:ascii="Times New Roman" w:hAnsi="Times New Roman" w:cs="Times New Roman"/>
          <w:noProof/>
          <w:sz w:val="20"/>
          <w:szCs w:val="20"/>
          <w:lang w:eastAsia="tr-TR"/>
        </w:rPr>
        <w:lastRenderedPageBreak/>
        <w:drawing>
          <wp:inline distT="0" distB="0" distL="0" distR="0">
            <wp:extent cx="4320000" cy="2340000"/>
            <wp:effectExtent l="19050" t="19050" r="23495" b="22225"/>
            <wp:docPr id="38" name="Resim 38" descr="C:\Users\myasinoz\Desktop\Adsız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yasinoz\Desktop\Adsız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a:solidFill>
                        <a:schemeClr val="bg1">
                          <a:lumMod val="75000"/>
                        </a:schemeClr>
                      </a:solidFill>
                    </a:ln>
                  </pic:spPr>
                </pic:pic>
              </a:graphicData>
            </a:graphic>
          </wp:inline>
        </w:drawing>
      </w:r>
    </w:p>
    <w:p w:rsidR="00BB43D4" w:rsidRDefault="00BB43D4" w:rsidP="00BB43D4">
      <w:pPr>
        <w:rPr>
          <w:rFonts w:ascii="Times New Roman" w:hAnsi="Times New Roman" w:cs="Times New Roman"/>
          <w:sz w:val="20"/>
          <w:szCs w:val="20"/>
          <w:lang w:eastAsia="tr-TR"/>
        </w:rPr>
      </w:pPr>
    </w:p>
    <w:p w:rsidR="00BB43D4" w:rsidRDefault="00BB43D4" w:rsidP="00BB43D4">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Pr>
          <w:rFonts w:ascii="Arial" w:hAnsi="Arial" w:cs="Arial"/>
          <w:i/>
          <w:sz w:val="18"/>
          <w:szCs w:val="18"/>
        </w:rPr>
        <w:t>E-Devlet Harita Servisleri</w:t>
      </w:r>
    </w:p>
    <w:p w:rsidR="00F84298" w:rsidRDefault="00F84298" w:rsidP="00D26B9D">
      <w:pPr>
        <w:jc w:val="both"/>
        <w:rPr>
          <w:rFonts w:ascii="Times New Roman" w:hAnsi="Times New Roman" w:cs="Times New Roman"/>
          <w:sz w:val="20"/>
          <w:szCs w:val="20"/>
          <w:lang w:eastAsia="tr-TR"/>
        </w:rPr>
      </w:pPr>
    </w:p>
    <w:p w:rsidR="00161439" w:rsidRDefault="00161439" w:rsidP="00DA211A">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Tablo 2’de de görüldüğü üzere E-Devlet kapısı uygulamaları içerisinde en çok kullanım bakımdan 6. sırada yer alan taşınmaz bilgilerinin sorgulanması uygulaması ile aylık olarak ortalama 700 bin talep (</w:t>
      </w:r>
      <w:proofErr w:type="spellStart"/>
      <w:r>
        <w:rPr>
          <w:rFonts w:ascii="Times New Roman" w:hAnsi="Times New Roman" w:cs="Times New Roman"/>
          <w:sz w:val="20"/>
          <w:szCs w:val="20"/>
          <w:lang w:eastAsia="tr-TR"/>
        </w:rPr>
        <w:t>request</w:t>
      </w:r>
      <w:proofErr w:type="spellEnd"/>
      <w:r>
        <w:rPr>
          <w:rFonts w:ascii="Times New Roman" w:hAnsi="Times New Roman" w:cs="Times New Roman"/>
          <w:sz w:val="20"/>
          <w:szCs w:val="20"/>
          <w:lang w:eastAsia="tr-TR"/>
        </w:rPr>
        <w:t xml:space="preserve">) gelmektedir. Bu taleplerin </w:t>
      </w:r>
      <w:r w:rsidRPr="00040A28">
        <w:rPr>
          <w:rFonts w:ascii="Times New Roman" w:hAnsi="Times New Roman" w:cs="Times New Roman"/>
          <w:sz w:val="20"/>
          <w:szCs w:val="20"/>
          <w:lang w:eastAsia="tr-TR"/>
        </w:rPr>
        <w:t>sistem kesintileri veya teknik sorunlarda da dâhil olmak üzere</w:t>
      </w:r>
      <w:r>
        <w:rPr>
          <w:rFonts w:ascii="Times New Roman" w:hAnsi="Times New Roman" w:cs="Times New Roman"/>
          <w:sz w:val="20"/>
          <w:szCs w:val="20"/>
          <w:lang w:eastAsia="tr-TR"/>
        </w:rPr>
        <w:t xml:space="preserve"> </w:t>
      </w:r>
      <w:r w:rsidRPr="00040A28">
        <w:rPr>
          <w:rFonts w:ascii="Times New Roman" w:hAnsi="Times New Roman" w:cs="Times New Roman"/>
          <w:sz w:val="20"/>
          <w:szCs w:val="20"/>
          <w:lang w:eastAsia="tr-TR"/>
        </w:rPr>
        <w:t>sonuçlandırma oranı yaklaşık %9</w:t>
      </w:r>
      <w:r>
        <w:rPr>
          <w:rFonts w:ascii="Times New Roman" w:hAnsi="Times New Roman" w:cs="Times New Roman"/>
          <w:sz w:val="20"/>
          <w:szCs w:val="20"/>
          <w:lang w:eastAsia="tr-TR"/>
        </w:rPr>
        <w:t>9</w:t>
      </w:r>
      <w:r w:rsidRPr="00040A28">
        <w:rPr>
          <w:rFonts w:ascii="Times New Roman" w:hAnsi="Times New Roman" w:cs="Times New Roman"/>
          <w:sz w:val="20"/>
          <w:szCs w:val="20"/>
          <w:lang w:eastAsia="tr-TR"/>
        </w:rPr>
        <w:t xml:space="preserve"> düzeyindedir.</w:t>
      </w:r>
    </w:p>
    <w:p w:rsidR="00161439" w:rsidRPr="00BB4376" w:rsidRDefault="00161439" w:rsidP="00D26B9D">
      <w:pPr>
        <w:jc w:val="both"/>
        <w:rPr>
          <w:rFonts w:ascii="Times New Roman" w:hAnsi="Times New Roman" w:cs="Times New Roman"/>
          <w:sz w:val="20"/>
          <w:szCs w:val="20"/>
          <w:lang w:eastAsia="tr-TR"/>
        </w:rPr>
      </w:pPr>
    </w:p>
    <w:p w:rsidR="00D26B9D" w:rsidRPr="00BB4376" w:rsidRDefault="00D26B9D" w:rsidP="00D26B9D">
      <w:pPr>
        <w:rPr>
          <w:rFonts w:ascii="Times New Roman" w:hAnsi="Times New Roman" w:cs="Times New Roman"/>
          <w:sz w:val="20"/>
          <w:szCs w:val="20"/>
          <w:lang w:eastAsia="tr-TR"/>
        </w:rPr>
      </w:pPr>
      <w:r w:rsidRPr="00A62F15">
        <w:rPr>
          <w:rFonts w:ascii="Arial" w:hAnsi="Arial" w:cs="Arial"/>
          <w:i/>
          <w:sz w:val="18"/>
          <w:szCs w:val="18"/>
        </w:rPr>
        <w:t xml:space="preserve">Tablo </w:t>
      </w:r>
      <w:r>
        <w:rPr>
          <w:rFonts w:ascii="Arial" w:hAnsi="Arial" w:cs="Arial"/>
          <w:i/>
          <w:sz w:val="18"/>
          <w:szCs w:val="18"/>
        </w:rPr>
        <w:t>2</w:t>
      </w:r>
      <w:r w:rsidRPr="00A62F15">
        <w:rPr>
          <w:rFonts w:ascii="Arial" w:hAnsi="Arial" w:cs="Arial"/>
          <w:i/>
          <w:sz w:val="18"/>
          <w:szCs w:val="18"/>
        </w:rPr>
        <w:t xml:space="preserve">: </w:t>
      </w:r>
      <w:r>
        <w:rPr>
          <w:rFonts w:ascii="Arial" w:hAnsi="Arial" w:cs="Arial"/>
          <w:i/>
          <w:sz w:val="18"/>
          <w:szCs w:val="18"/>
        </w:rPr>
        <w:t>E-Devlet Harita Servisleri Aylık Ortalama İstatistiği</w:t>
      </w:r>
    </w:p>
    <w:p w:rsidR="00D26B9D" w:rsidRDefault="00D26B9D" w:rsidP="00D26B9D">
      <w:pPr>
        <w:jc w:val="both"/>
        <w:rPr>
          <w:rFonts w:ascii="Times New Roman" w:hAnsi="Times New Roman" w:cs="Times New Roman"/>
          <w:sz w:val="20"/>
          <w:szCs w:val="20"/>
          <w:lang w:eastAsia="tr-TR"/>
        </w:rPr>
      </w:pPr>
    </w:p>
    <w:tbl>
      <w:tblPr>
        <w:tblStyle w:val="TabloKlavuzu"/>
        <w:tblW w:w="7807" w:type="dxa"/>
        <w:jc w:val="center"/>
        <w:tblInd w:w="353" w:type="dxa"/>
        <w:tblLook w:val="04A0" w:firstRow="1" w:lastRow="0" w:firstColumn="1" w:lastColumn="0" w:noHBand="0" w:noVBand="1"/>
      </w:tblPr>
      <w:tblGrid>
        <w:gridCol w:w="1907"/>
        <w:gridCol w:w="1580"/>
        <w:gridCol w:w="1960"/>
        <w:gridCol w:w="1400"/>
        <w:gridCol w:w="960"/>
      </w:tblGrid>
      <w:tr w:rsidR="00D26B9D" w:rsidRPr="00AE410A" w:rsidTr="004134C1">
        <w:trPr>
          <w:trHeight w:val="568"/>
          <w:jc w:val="center"/>
        </w:trPr>
        <w:tc>
          <w:tcPr>
            <w:tcW w:w="1907" w:type="dxa"/>
            <w:hideMark/>
          </w:tcPr>
          <w:p w:rsidR="00D26B9D" w:rsidRPr="00AE410A" w:rsidRDefault="00D26B9D" w:rsidP="004134C1">
            <w:pPr>
              <w:jc w:val="both"/>
              <w:rPr>
                <w:rFonts w:ascii="Times New Roman" w:hAnsi="Times New Roman" w:cs="Times New Roman"/>
                <w:sz w:val="20"/>
                <w:szCs w:val="20"/>
                <w:lang w:eastAsia="tr-TR"/>
              </w:rPr>
            </w:pPr>
          </w:p>
        </w:tc>
        <w:tc>
          <w:tcPr>
            <w:tcW w:w="1580" w:type="dxa"/>
            <w:hideMark/>
          </w:tcPr>
          <w:p w:rsidR="00D26B9D" w:rsidRPr="00AE410A" w:rsidRDefault="00D26B9D" w:rsidP="004134C1">
            <w:pPr>
              <w:rPr>
                <w:rFonts w:ascii="Times New Roman" w:hAnsi="Times New Roman" w:cs="Times New Roman"/>
                <w:b/>
                <w:sz w:val="20"/>
                <w:szCs w:val="20"/>
                <w:lang w:eastAsia="tr-TR"/>
              </w:rPr>
            </w:pPr>
            <w:r w:rsidRPr="00AE410A">
              <w:rPr>
                <w:rFonts w:ascii="Times New Roman" w:hAnsi="Times New Roman" w:cs="Times New Roman"/>
                <w:b/>
                <w:sz w:val="20"/>
                <w:szCs w:val="20"/>
                <w:lang w:eastAsia="tr-TR"/>
              </w:rPr>
              <w:t>Cevaplanan Talep Sayısı</w:t>
            </w:r>
          </w:p>
        </w:tc>
        <w:tc>
          <w:tcPr>
            <w:tcW w:w="1960" w:type="dxa"/>
            <w:hideMark/>
          </w:tcPr>
          <w:p w:rsidR="00D26B9D" w:rsidRPr="00AE410A" w:rsidRDefault="00D26B9D" w:rsidP="004134C1">
            <w:pPr>
              <w:rPr>
                <w:rFonts w:ascii="Times New Roman" w:hAnsi="Times New Roman" w:cs="Times New Roman"/>
                <w:b/>
                <w:sz w:val="20"/>
                <w:szCs w:val="20"/>
                <w:lang w:eastAsia="tr-TR"/>
              </w:rPr>
            </w:pPr>
            <w:r w:rsidRPr="00AE410A">
              <w:rPr>
                <w:rFonts w:ascii="Times New Roman" w:hAnsi="Times New Roman" w:cs="Times New Roman"/>
                <w:b/>
                <w:sz w:val="20"/>
                <w:szCs w:val="20"/>
                <w:lang w:eastAsia="tr-TR"/>
              </w:rPr>
              <w:t>Cevaplanamayan Talep Sayısı</w:t>
            </w:r>
          </w:p>
        </w:tc>
        <w:tc>
          <w:tcPr>
            <w:tcW w:w="1400" w:type="dxa"/>
            <w:hideMark/>
          </w:tcPr>
          <w:p w:rsidR="00D26B9D" w:rsidRPr="00AE410A" w:rsidRDefault="00D26B9D" w:rsidP="004134C1">
            <w:pPr>
              <w:rPr>
                <w:rFonts w:ascii="Times New Roman" w:hAnsi="Times New Roman" w:cs="Times New Roman"/>
                <w:b/>
                <w:sz w:val="20"/>
                <w:szCs w:val="20"/>
                <w:lang w:eastAsia="tr-TR"/>
              </w:rPr>
            </w:pPr>
            <w:r w:rsidRPr="00AE410A">
              <w:rPr>
                <w:rFonts w:ascii="Times New Roman" w:hAnsi="Times New Roman" w:cs="Times New Roman"/>
                <w:b/>
                <w:sz w:val="20"/>
                <w:szCs w:val="20"/>
                <w:lang w:eastAsia="tr-TR"/>
              </w:rPr>
              <w:t>Toplam Talep Sayısı</w:t>
            </w:r>
          </w:p>
        </w:tc>
        <w:tc>
          <w:tcPr>
            <w:tcW w:w="960" w:type="dxa"/>
            <w:hideMark/>
          </w:tcPr>
          <w:p w:rsidR="00D26B9D" w:rsidRPr="00AE410A" w:rsidRDefault="00D26B9D" w:rsidP="004134C1">
            <w:pPr>
              <w:rPr>
                <w:rFonts w:ascii="Times New Roman" w:hAnsi="Times New Roman" w:cs="Times New Roman"/>
                <w:b/>
                <w:sz w:val="20"/>
                <w:szCs w:val="20"/>
                <w:lang w:eastAsia="tr-TR"/>
              </w:rPr>
            </w:pPr>
            <w:r w:rsidRPr="00AE410A">
              <w:rPr>
                <w:rFonts w:ascii="Times New Roman" w:hAnsi="Times New Roman" w:cs="Times New Roman"/>
                <w:b/>
                <w:sz w:val="20"/>
                <w:szCs w:val="20"/>
                <w:lang w:eastAsia="tr-TR"/>
              </w:rPr>
              <w:t>Başarı Oranı</w:t>
            </w:r>
          </w:p>
        </w:tc>
      </w:tr>
      <w:tr w:rsidR="00D26B9D" w:rsidRPr="00AE410A" w:rsidTr="004134C1">
        <w:trPr>
          <w:trHeight w:val="564"/>
          <w:jc w:val="center"/>
        </w:trPr>
        <w:tc>
          <w:tcPr>
            <w:tcW w:w="1907" w:type="dxa"/>
            <w:vAlign w:val="center"/>
            <w:hideMark/>
          </w:tcPr>
          <w:p w:rsidR="00D26B9D" w:rsidRPr="00AE410A" w:rsidRDefault="00D26B9D" w:rsidP="004134C1">
            <w:pPr>
              <w:jc w:val="left"/>
              <w:rPr>
                <w:rFonts w:ascii="Times New Roman" w:hAnsi="Times New Roman" w:cs="Times New Roman"/>
                <w:b/>
                <w:bCs/>
                <w:sz w:val="20"/>
                <w:szCs w:val="20"/>
                <w:lang w:eastAsia="tr-TR"/>
              </w:rPr>
            </w:pPr>
            <w:r w:rsidRPr="00AE410A">
              <w:rPr>
                <w:rFonts w:ascii="Times New Roman" w:hAnsi="Times New Roman" w:cs="Times New Roman"/>
                <w:b/>
                <w:bCs/>
                <w:sz w:val="20"/>
                <w:szCs w:val="20"/>
                <w:lang w:eastAsia="tr-TR"/>
              </w:rPr>
              <w:t> E-Devlet (Vatandaş)</w:t>
            </w:r>
          </w:p>
        </w:tc>
        <w:tc>
          <w:tcPr>
            <w:tcW w:w="1580" w:type="dxa"/>
            <w:vAlign w:val="center"/>
            <w:hideMark/>
          </w:tcPr>
          <w:p w:rsidR="00D26B9D" w:rsidRPr="00AE410A" w:rsidRDefault="00D26B9D" w:rsidP="004134C1">
            <w:pPr>
              <w:jc w:val="right"/>
              <w:rPr>
                <w:rFonts w:ascii="Times New Roman" w:hAnsi="Times New Roman" w:cs="Times New Roman"/>
                <w:b/>
                <w:bCs/>
                <w:sz w:val="20"/>
                <w:szCs w:val="20"/>
                <w:lang w:eastAsia="tr-TR"/>
              </w:rPr>
            </w:pPr>
            <w:r w:rsidRPr="00AE410A">
              <w:rPr>
                <w:rFonts w:ascii="Times New Roman" w:hAnsi="Times New Roman" w:cs="Times New Roman"/>
                <w:b/>
                <w:bCs/>
                <w:sz w:val="20"/>
                <w:szCs w:val="20"/>
                <w:lang w:eastAsia="tr-TR"/>
              </w:rPr>
              <w:t>694.568</w:t>
            </w:r>
          </w:p>
        </w:tc>
        <w:tc>
          <w:tcPr>
            <w:tcW w:w="1960" w:type="dxa"/>
            <w:vAlign w:val="center"/>
            <w:hideMark/>
          </w:tcPr>
          <w:p w:rsidR="00D26B9D" w:rsidRPr="00AE410A" w:rsidRDefault="00D26B9D" w:rsidP="004134C1">
            <w:pPr>
              <w:jc w:val="right"/>
              <w:rPr>
                <w:rFonts w:ascii="Times New Roman" w:hAnsi="Times New Roman" w:cs="Times New Roman"/>
                <w:b/>
                <w:bCs/>
                <w:sz w:val="20"/>
                <w:szCs w:val="20"/>
                <w:lang w:eastAsia="tr-TR"/>
              </w:rPr>
            </w:pPr>
            <w:r w:rsidRPr="00AE410A">
              <w:rPr>
                <w:rFonts w:ascii="Times New Roman" w:hAnsi="Times New Roman" w:cs="Times New Roman"/>
                <w:b/>
                <w:bCs/>
                <w:sz w:val="20"/>
                <w:szCs w:val="20"/>
                <w:lang w:eastAsia="tr-TR"/>
              </w:rPr>
              <w:t>4.432</w:t>
            </w:r>
          </w:p>
        </w:tc>
        <w:tc>
          <w:tcPr>
            <w:tcW w:w="1400" w:type="dxa"/>
            <w:vAlign w:val="center"/>
            <w:hideMark/>
          </w:tcPr>
          <w:p w:rsidR="00D26B9D" w:rsidRPr="00AE410A" w:rsidRDefault="00D26B9D" w:rsidP="004134C1">
            <w:pPr>
              <w:jc w:val="right"/>
              <w:rPr>
                <w:rFonts w:ascii="Times New Roman" w:hAnsi="Times New Roman" w:cs="Times New Roman"/>
                <w:b/>
                <w:bCs/>
                <w:sz w:val="20"/>
                <w:szCs w:val="20"/>
                <w:lang w:eastAsia="tr-TR"/>
              </w:rPr>
            </w:pPr>
            <w:r w:rsidRPr="00AE410A">
              <w:rPr>
                <w:rFonts w:ascii="Times New Roman" w:hAnsi="Times New Roman" w:cs="Times New Roman"/>
                <w:b/>
                <w:bCs/>
                <w:sz w:val="20"/>
                <w:szCs w:val="20"/>
                <w:lang w:eastAsia="tr-TR"/>
              </w:rPr>
              <w:t>699.000</w:t>
            </w:r>
          </w:p>
        </w:tc>
        <w:tc>
          <w:tcPr>
            <w:tcW w:w="960" w:type="dxa"/>
            <w:vAlign w:val="center"/>
            <w:hideMark/>
          </w:tcPr>
          <w:p w:rsidR="00D26B9D" w:rsidRPr="00AE410A" w:rsidRDefault="00D26B9D" w:rsidP="004134C1">
            <w:pPr>
              <w:jc w:val="right"/>
              <w:rPr>
                <w:rFonts w:ascii="Times New Roman" w:hAnsi="Times New Roman" w:cs="Times New Roman"/>
                <w:b/>
                <w:bCs/>
                <w:sz w:val="20"/>
                <w:szCs w:val="20"/>
                <w:lang w:eastAsia="tr-TR"/>
              </w:rPr>
            </w:pPr>
            <w:r w:rsidRPr="00AE410A">
              <w:rPr>
                <w:rFonts w:ascii="Times New Roman" w:hAnsi="Times New Roman" w:cs="Times New Roman"/>
                <w:b/>
                <w:bCs/>
                <w:sz w:val="20"/>
                <w:szCs w:val="20"/>
                <w:lang w:eastAsia="tr-TR"/>
              </w:rPr>
              <w:t>99,37 %</w:t>
            </w:r>
          </w:p>
        </w:tc>
      </w:tr>
    </w:tbl>
    <w:p w:rsidR="00D26B9D" w:rsidRPr="00A45873" w:rsidRDefault="00D26B9D" w:rsidP="00D26B9D">
      <w:pPr>
        <w:rPr>
          <w:rFonts w:ascii="Times New Roman" w:hAnsi="Times New Roman" w:cs="Times New Roman"/>
          <w:sz w:val="16"/>
          <w:szCs w:val="20"/>
          <w:lang w:eastAsia="tr-TR"/>
        </w:rPr>
      </w:pPr>
      <w:r w:rsidRPr="00A45873">
        <w:rPr>
          <w:rFonts w:ascii="Times New Roman" w:hAnsi="Times New Roman" w:cs="Times New Roman"/>
          <w:bCs/>
          <w:sz w:val="16"/>
          <w:szCs w:val="20"/>
          <w:lang w:eastAsia="tr-TR"/>
        </w:rPr>
        <w:t>(Cevaplanamayan talep sayısı içerisine sistemden kaynaklanan kesintiler dâhil edilmiştir.)</w:t>
      </w:r>
      <w:r w:rsidR="008C5CE0">
        <w:rPr>
          <w:rFonts w:ascii="Times New Roman" w:hAnsi="Times New Roman" w:cs="Times New Roman"/>
          <w:bCs/>
          <w:sz w:val="16"/>
          <w:szCs w:val="20"/>
          <w:lang w:eastAsia="tr-TR"/>
        </w:rPr>
        <w:br/>
      </w:r>
    </w:p>
    <w:p w:rsidR="00D26B9D" w:rsidRPr="00AB0F97" w:rsidRDefault="00D26B9D" w:rsidP="00BB43D4">
      <w:pPr>
        <w:rPr>
          <w:rFonts w:ascii="Arial" w:hAnsi="Arial" w:cs="Arial"/>
          <w:i/>
          <w:sz w:val="18"/>
          <w:szCs w:val="18"/>
        </w:rPr>
      </w:pPr>
    </w:p>
    <w:p w:rsidR="00991771" w:rsidRPr="004F6F3A" w:rsidRDefault="00DE48F5" w:rsidP="004F6F3A">
      <w:pPr>
        <w:pStyle w:val="ListeParagraf"/>
        <w:numPr>
          <w:ilvl w:val="1"/>
          <w:numId w:val="16"/>
        </w:numPr>
        <w:jc w:val="left"/>
        <w:rPr>
          <w:rFonts w:ascii="Arial" w:hAnsi="Arial" w:cs="Arial"/>
          <w:b/>
          <w:sz w:val="20"/>
          <w:szCs w:val="20"/>
        </w:rPr>
      </w:pPr>
      <w:r w:rsidRPr="004F6F3A">
        <w:rPr>
          <w:rFonts w:ascii="Arial" w:hAnsi="Arial" w:cs="Arial"/>
          <w:b/>
          <w:sz w:val="20"/>
          <w:szCs w:val="20"/>
        </w:rPr>
        <w:t>Mevcut Durum</w:t>
      </w:r>
    </w:p>
    <w:p w:rsidR="00DA211A" w:rsidRDefault="00DA211A" w:rsidP="00DA211A">
      <w:pPr>
        <w:jc w:val="both"/>
        <w:rPr>
          <w:rFonts w:ascii="Times New Roman" w:eastAsia="Times New Roman" w:hAnsi="Times New Roman" w:cs="Times New Roman"/>
          <w:sz w:val="20"/>
          <w:szCs w:val="20"/>
          <w:lang w:eastAsia="tr-TR"/>
        </w:rPr>
      </w:pPr>
    </w:p>
    <w:p w:rsidR="00DA211A" w:rsidRPr="00DA211A" w:rsidRDefault="00DA211A" w:rsidP="00DA211A">
      <w:pPr>
        <w:jc w:val="both"/>
        <w:rPr>
          <w:rFonts w:ascii="Times New Roman" w:eastAsia="Times New Roman" w:hAnsi="Times New Roman" w:cs="Times New Roman"/>
          <w:sz w:val="20"/>
          <w:szCs w:val="20"/>
          <w:lang w:eastAsia="tr-TR"/>
        </w:rPr>
      </w:pPr>
      <w:r w:rsidRPr="00DA211A">
        <w:rPr>
          <w:rFonts w:ascii="Times New Roman" w:eastAsia="Times New Roman" w:hAnsi="Times New Roman" w:cs="Times New Roman"/>
          <w:sz w:val="20"/>
          <w:szCs w:val="20"/>
          <w:lang w:eastAsia="tr-TR"/>
        </w:rPr>
        <w:t>2011 yılının Ağustos ayında 1. Fazı başlatılan ve 2.Faz olarak kadastro otomasyon altyapısının geliştirilmesi ve güçlendirilmesi hedeflenen Mekânsal Gayrimenkul Sistemi Şubat 2013 itibari ile işletime alınmış ve yaklaşık 52 milyon kadastro parselinin sisteme yüklenmesi sağlanmıştır.</w:t>
      </w:r>
    </w:p>
    <w:p w:rsidR="00471603" w:rsidRDefault="00471603" w:rsidP="00471603">
      <w:pPr>
        <w:pStyle w:val="ListeParagraf"/>
        <w:jc w:val="left"/>
        <w:rPr>
          <w:rFonts w:ascii="Arial" w:hAnsi="Arial" w:cs="Arial"/>
          <w:b/>
        </w:rPr>
      </w:pPr>
    </w:p>
    <w:p w:rsidR="006C623D" w:rsidRDefault="006C623D" w:rsidP="00471603">
      <w:pPr>
        <w:pStyle w:val="ListeParagraf"/>
        <w:jc w:val="left"/>
        <w:rPr>
          <w:rFonts w:ascii="Arial" w:hAnsi="Arial" w:cs="Arial"/>
          <w:b/>
        </w:rPr>
      </w:pPr>
      <w:r>
        <w:rPr>
          <w:rFonts w:ascii="Arial" w:hAnsi="Arial" w:cs="Arial"/>
          <w:b/>
          <w:noProof/>
          <w:lang w:eastAsia="tr-TR"/>
        </w:rPr>
        <w:drawing>
          <wp:inline distT="0" distB="0" distL="0" distR="0">
            <wp:extent cx="5486400" cy="2838203"/>
            <wp:effectExtent l="0" t="0" r="19050" b="1968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0ABC" w:rsidRDefault="00AD0ABC" w:rsidP="00471603">
      <w:pPr>
        <w:pStyle w:val="ListeParagraf"/>
        <w:jc w:val="left"/>
        <w:rPr>
          <w:rFonts w:ascii="Arial" w:hAnsi="Arial" w:cs="Arial"/>
          <w:b/>
        </w:rPr>
      </w:pPr>
    </w:p>
    <w:p w:rsidR="00AD0ABC" w:rsidRDefault="00AD0ABC" w:rsidP="00AD0ABC">
      <w:pPr>
        <w:rPr>
          <w:rFonts w:ascii="Arial" w:hAnsi="Arial" w:cs="Arial"/>
          <w:i/>
          <w:sz w:val="18"/>
          <w:szCs w:val="18"/>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sidR="0078406E">
        <w:rPr>
          <w:rFonts w:ascii="Arial" w:hAnsi="Arial" w:cs="Arial"/>
          <w:i/>
          <w:sz w:val="18"/>
          <w:szCs w:val="18"/>
        </w:rPr>
        <w:t>Mevcut Durum – 30.04.2013</w:t>
      </w:r>
    </w:p>
    <w:p w:rsidR="004C75BA" w:rsidRPr="00AB0F97" w:rsidRDefault="004C75BA" w:rsidP="00AD0ABC">
      <w:pPr>
        <w:rPr>
          <w:rFonts w:ascii="Arial" w:hAnsi="Arial" w:cs="Arial"/>
          <w:i/>
          <w:sz w:val="18"/>
          <w:szCs w:val="18"/>
        </w:rPr>
      </w:pPr>
    </w:p>
    <w:p w:rsidR="000B5B9C" w:rsidRPr="001C2CED" w:rsidRDefault="000B5B9C" w:rsidP="00DA211A">
      <w:pPr>
        <w:ind w:firstLine="284"/>
        <w:jc w:val="both"/>
        <w:rPr>
          <w:rFonts w:ascii="Times New Roman" w:eastAsia="Times New Roman" w:hAnsi="Times New Roman" w:cs="Times New Roman"/>
          <w:sz w:val="20"/>
          <w:szCs w:val="20"/>
          <w:lang w:eastAsia="tr-TR"/>
        </w:rPr>
      </w:pPr>
      <w:r w:rsidRPr="001C2CED">
        <w:rPr>
          <w:rFonts w:ascii="Times New Roman" w:eastAsia="Times New Roman" w:hAnsi="Times New Roman" w:cs="Times New Roman"/>
          <w:sz w:val="20"/>
          <w:szCs w:val="20"/>
          <w:lang w:eastAsia="tr-TR"/>
        </w:rPr>
        <w:lastRenderedPageBreak/>
        <w:t>Veri girişleri yapılan kadastro bilgilerinden yaklaşık 50 milyon parselin tapu verileri ile uyumlaştırılması yapılmış ve kadastro müdürlükleri tarafından iyileştirme, güncelleme ve kesinleştirme çalışmaları sürdürülmektedir.</w:t>
      </w:r>
    </w:p>
    <w:p w:rsidR="000B5B9C" w:rsidRDefault="000B5B9C" w:rsidP="000B5B9C">
      <w:pPr>
        <w:jc w:val="left"/>
        <w:rPr>
          <w:rFonts w:ascii="Arial" w:hAnsi="Arial" w:cs="Arial"/>
          <w:b/>
        </w:rPr>
      </w:pPr>
    </w:p>
    <w:p w:rsidR="00A15CA5" w:rsidRPr="004F6F3A" w:rsidRDefault="00A15CA5" w:rsidP="004F6F3A">
      <w:pPr>
        <w:pStyle w:val="ListeParagraf"/>
        <w:numPr>
          <w:ilvl w:val="0"/>
          <w:numId w:val="16"/>
        </w:numPr>
        <w:jc w:val="left"/>
        <w:rPr>
          <w:rFonts w:ascii="Arial" w:hAnsi="Arial" w:cs="Arial"/>
          <w:b/>
        </w:rPr>
      </w:pPr>
      <w:r w:rsidRPr="004F6F3A">
        <w:rPr>
          <w:rFonts w:ascii="Arial" w:hAnsi="Arial" w:cs="Arial"/>
          <w:b/>
        </w:rPr>
        <w:t>Sonuç</w:t>
      </w:r>
    </w:p>
    <w:p w:rsidR="004C462A" w:rsidRDefault="004C462A" w:rsidP="004C462A">
      <w:pPr>
        <w:pStyle w:val="ListeParagraf"/>
        <w:ind w:left="0"/>
        <w:jc w:val="both"/>
        <w:rPr>
          <w:rFonts w:ascii="Times New Roman" w:eastAsia="Times New Roman" w:hAnsi="Times New Roman" w:cs="Times New Roman"/>
          <w:sz w:val="20"/>
          <w:szCs w:val="20"/>
          <w:lang w:eastAsia="tr-TR"/>
        </w:rPr>
      </w:pPr>
    </w:p>
    <w:p w:rsidR="00A15CA5" w:rsidRDefault="00A57529" w:rsidP="00DA211A">
      <w:pPr>
        <w:pStyle w:val="ListeParagraf"/>
        <w:ind w:left="0"/>
        <w:jc w:val="both"/>
        <w:rPr>
          <w:rFonts w:ascii="Arial" w:hAnsi="Arial" w:cs="Arial"/>
          <w:b/>
          <w:sz w:val="20"/>
          <w:szCs w:val="20"/>
        </w:rPr>
      </w:pPr>
      <w:r>
        <w:rPr>
          <w:rFonts w:ascii="Times New Roman" w:eastAsia="Times New Roman" w:hAnsi="Times New Roman" w:cs="Times New Roman"/>
          <w:sz w:val="20"/>
          <w:szCs w:val="20"/>
          <w:lang w:eastAsia="tr-TR"/>
        </w:rPr>
        <w:t xml:space="preserve">Bu çalışma ile görülen, </w:t>
      </w:r>
      <w:r w:rsidR="004C462A">
        <w:rPr>
          <w:rFonts w:ascii="Times New Roman" w:eastAsia="Times New Roman" w:hAnsi="Times New Roman" w:cs="Times New Roman"/>
          <w:sz w:val="20"/>
          <w:szCs w:val="20"/>
          <w:lang w:eastAsia="tr-TR"/>
        </w:rPr>
        <w:t xml:space="preserve">bilişim projeleri için yeterli ve gerekli olduğu kadar kaynak kullanımına gidilmesi, </w:t>
      </w:r>
      <w:r>
        <w:rPr>
          <w:rFonts w:ascii="Times New Roman" w:eastAsia="Times New Roman" w:hAnsi="Times New Roman" w:cs="Times New Roman"/>
          <w:sz w:val="20"/>
          <w:szCs w:val="20"/>
          <w:lang w:eastAsia="tr-TR"/>
        </w:rPr>
        <w:t xml:space="preserve">kurumsal birikimin oluşturulması, </w:t>
      </w:r>
      <w:r w:rsidR="004C462A">
        <w:rPr>
          <w:rFonts w:ascii="Times New Roman" w:eastAsia="Times New Roman" w:hAnsi="Times New Roman" w:cs="Times New Roman"/>
          <w:sz w:val="20"/>
          <w:szCs w:val="20"/>
          <w:lang w:eastAsia="tr-TR"/>
        </w:rPr>
        <w:t>gelişmiş dünya ülkelerinde olduğu gibi kamu alanlarında kalifiye personel istihdamı ile açık kaynak uygulamaların denenmesi ve kullanımı Türkiye gibi teknolojik alanda gelişime ihtiyaç duyan bir ülke için hayati önem taşımaktadır.</w:t>
      </w:r>
    </w:p>
    <w:p w:rsidR="00A57529" w:rsidRDefault="00A57529" w:rsidP="00DA211A">
      <w:pPr>
        <w:pStyle w:val="ListeParagraf"/>
        <w:ind w:left="0" w:firstLine="284"/>
        <w:jc w:val="both"/>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TKGM tarafından u</w:t>
      </w:r>
      <w:r w:rsidRPr="004C462A">
        <w:rPr>
          <w:rFonts w:ascii="Times New Roman" w:eastAsia="Times New Roman" w:hAnsi="Times New Roman" w:cs="Times New Roman"/>
          <w:sz w:val="20"/>
          <w:szCs w:val="20"/>
          <w:lang w:eastAsia="tr-TR"/>
        </w:rPr>
        <w:t xml:space="preserve">lusal düzeyde üretilen mekânsal verilerin merkezi bir yapıda ilişkisel olarak tutulması ve bu bilgilerin mekâna bağlı tüm </w:t>
      </w:r>
      <w:r>
        <w:rPr>
          <w:rFonts w:ascii="Times New Roman" w:eastAsia="Times New Roman" w:hAnsi="Times New Roman" w:cs="Times New Roman"/>
          <w:sz w:val="20"/>
          <w:szCs w:val="20"/>
          <w:lang w:eastAsia="tr-TR"/>
        </w:rPr>
        <w:t xml:space="preserve">bilgi sistemleri için sunulması, </w:t>
      </w:r>
      <w:r w:rsidR="009C2EBB">
        <w:rPr>
          <w:rFonts w:ascii="Times New Roman" w:eastAsia="Times New Roman" w:hAnsi="Times New Roman" w:cs="Times New Roman"/>
          <w:sz w:val="20"/>
          <w:szCs w:val="20"/>
          <w:lang w:eastAsia="tr-TR"/>
        </w:rPr>
        <w:t>INSPIRE (</w:t>
      </w:r>
      <w:proofErr w:type="spellStart"/>
      <w:r w:rsidR="005803D0" w:rsidRPr="005803D0">
        <w:rPr>
          <w:rFonts w:ascii="Times New Roman" w:eastAsia="Times New Roman" w:hAnsi="Times New Roman" w:cs="Times New Roman"/>
          <w:sz w:val="20"/>
          <w:szCs w:val="20"/>
          <w:lang w:eastAsia="tr-TR"/>
        </w:rPr>
        <w:t>Infrastructure</w:t>
      </w:r>
      <w:proofErr w:type="spellEnd"/>
      <w:r w:rsidR="005803D0" w:rsidRPr="005803D0">
        <w:rPr>
          <w:rFonts w:ascii="Times New Roman" w:eastAsia="Times New Roman" w:hAnsi="Times New Roman" w:cs="Times New Roman"/>
          <w:sz w:val="20"/>
          <w:szCs w:val="20"/>
          <w:lang w:eastAsia="tr-TR"/>
        </w:rPr>
        <w:t xml:space="preserve"> </w:t>
      </w:r>
      <w:proofErr w:type="spellStart"/>
      <w:r w:rsidR="005803D0" w:rsidRPr="005803D0">
        <w:rPr>
          <w:rFonts w:ascii="Times New Roman" w:eastAsia="Times New Roman" w:hAnsi="Times New Roman" w:cs="Times New Roman"/>
          <w:sz w:val="20"/>
          <w:szCs w:val="20"/>
          <w:lang w:eastAsia="tr-TR"/>
        </w:rPr>
        <w:t>for</w:t>
      </w:r>
      <w:proofErr w:type="spellEnd"/>
      <w:r w:rsidR="005803D0" w:rsidRPr="005803D0">
        <w:rPr>
          <w:rFonts w:ascii="Times New Roman" w:eastAsia="Times New Roman" w:hAnsi="Times New Roman" w:cs="Times New Roman"/>
          <w:sz w:val="20"/>
          <w:szCs w:val="20"/>
          <w:lang w:eastAsia="tr-TR"/>
        </w:rPr>
        <w:t xml:space="preserve"> </w:t>
      </w:r>
      <w:proofErr w:type="spellStart"/>
      <w:r w:rsidR="005803D0" w:rsidRPr="005803D0">
        <w:rPr>
          <w:rFonts w:ascii="Times New Roman" w:eastAsia="Times New Roman" w:hAnsi="Times New Roman" w:cs="Times New Roman"/>
          <w:sz w:val="20"/>
          <w:szCs w:val="20"/>
          <w:lang w:eastAsia="tr-TR"/>
        </w:rPr>
        <w:t>Spatial</w:t>
      </w:r>
      <w:proofErr w:type="spellEnd"/>
      <w:r w:rsidR="005803D0" w:rsidRPr="005803D0">
        <w:rPr>
          <w:rFonts w:ascii="Times New Roman" w:eastAsia="Times New Roman" w:hAnsi="Times New Roman" w:cs="Times New Roman"/>
          <w:sz w:val="20"/>
          <w:szCs w:val="20"/>
          <w:lang w:eastAsia="tr-TR"/>
        </w:rPr>
        <w:t xml:space="preserve"> Information in </w:t>
      </w:r>
      <w:proofErr w:type="spellStart"/>
      <w:r w:rsidR="005803D0" w:rsidRPr="005803D0">
        <w:rPr>
          <w:rFonts w:ascii="Times New Roman" w:eastAsia="Times New Roman" w:hAnsi="Times New Roman" w:cs="Times New Roman"/>
          <w:sz w:val="20"/>
          <w:szCs w:val="20"/>
          <w:lang w:eastAsia="tr-TR"/>
        </w:rPr>
        <w:t>the</w:t>
      </w:r>
      <w:proofErr w:type="spellEnd"/>
      <w:r w:rsidR="005803D0" w:rsidRPr="005803D0">
        <w:rPr>
          <w:rFonts w:ascii="Times New Roman" w:eastAsia="Times New Roman" w:hAnsi="Times New Roman" w:cs="Times New Roman"/>
          <w:sz w:val="20"/>
          <w:szCs w:val="20"/>
          <w:lang w:eastAsia="tr-TR"/>
        </w:rPr>
        <w:t xml:space="preserve"> </w:t>
      </w:r>
      <w:proofErr w:type="spellStart"/>
      <w:r w:rsidR="005803D0" w:rsidRPr="005803D0">
        <w:rPr>
          <w:rFonts w:ascii="Times New Roman" w:eastAsia="Times New Roman" w:hAnsi="Times New Roman" w:cs="Times New Roman"/>
          <w:sz w:val="20"/>
          <w:szCs w:val="20"/>
          <w:lang w:eastAsia="tr-TR"/>
        </w:rPr>
        <w:t>European</w:t>
      </w:r>
      <w:proofErr w:type="spellEnd"/>
      <w:r w:rsidR="005803D0" w:rsidRPr="005803D0">
        <w:rPr>
          <w:rFonts w:ascii="Times New Roman" w:eastAsia="Times New Roman" w:hAnsi="Times New Roman" w:cs="Times New Roman"/>
          <w:sz w:val="20"/>
          <w:szCs w:val="20"/>
          <w:lang w:eastAsia="tr-TR"/>
        </w:rPr>
        <w:t xml:space="preserve"> </w:t>
      </w:r>
      <w:proofErr w:type="spellStart"/>
      <w:r w:rsidR="005803D0" w:rsidRPr="005803D0">
        <w:rPr>
          <w:rFonts w:ascii="Times New Roman" w:eastAsia="Times New Roman" w:hAnsi="Times New Roman" w:cs="Times New Roman"/>
          <w:sz w:val="20"/>
          <w:szCs w:val="20"/>
          <w:lang w:eastAsia="tr-TR"/>
        </w:rPr>
        <w:t>Community</w:t>
      </w:r>
      <w:proofErr w:type="spellEnd"/>
      <w:r w:rsidR="009C2EBB">
        <w:rPr>
          <w:rFonts w:ascii="Times New Roman" w:eastAsia="Times New Roman" w:hAnsi="Times New Roman" w:cs="Times New Roman"/>
          <w:sz w:val="20"/>
          <w:szCs w:val="20"/>
          <w:lang w:eastAsia="tr-TR"/>
        </w:rPr>
        <w:t>)</w:t>
      </w:r>
      <w:r w:rsidR="005803D0" w:rsidRPr="005803D0">
        <w:rPr>
          <w:rFonts w:ascii="Times New Roman" w:eastAsia="Times New Roman" w:hAnsi="Times New Roman" w:cs="Times New Roman"/>
          <w:sz w:val="20"/>
          <w:szCs w:val="20"/>
          <w:lang w:eastAsia="tr-TR"/>
        </w:rPr>
        <w:t> </w:t>
      </w:r>
      <w:r w:rsidR="005803D0">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 TUCBS</w:t>
      </w:r>
      <w:r w:rsidR="009C2EBB">
        <w:rPr>
          <w:rFonts w:ascii="Times New Roman" w:eastAsia="Times New Roman" w:hAnsi="Times New Roman" w:cs="Times New Roman"/>
          <w:sz w:val="20"/>
          <w:szCs w:val="20"/>
          <w:lang w:eastAsia="tr-TR"/>
        </w:rPr>
        <w:t xml:space="preserve"> (Türkiye Ulusal Coğrafi Bilgi Sistemi</w:t>
      </w:r>
      <w:r w:rsidR="005803D0">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 xml:space="preserve"> tarafından EK-1’de tanımlanan kadastro veri setinin bir an önce oluşturulması ve başta kent bilgi sistemleri gibi uygulamalar olmak üzere tüm çalışmalara hız sağlayacaktır.</w:t>
      </w:r>
      <w:proofErr w:type="gramEnd"/>
    </w:p>
    <w:p w:rsidR="00A57529" w:rsidRDefault="00A57529" w:rsidP="00DA211A">
      <w:pPr>
        <w:pStyle w:val="ListeParagraf"/>
        <w:ind w:left="0"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MEGSİS ile yukarıda belirtilen hedefler doğrultusunda yapılan</w:t>
      </w:r>
      <w:r w:rsidR="00C04095">
        <w:rPr>
          <w:rFonts w:ascii="Times New Roman" w:eastAsia="Times New Roman" w:hAnsi="Times New Roman" w:cs="Times New Roman"/>
          <w:sz w:val="20"/>
          <w:szCs w:val="20"/>
          <w:lang w:eastAsia="tr-TR"/>
        </w:rPr>
        <w:t xml:space="preserve"> ve yapılacak çalışmaları gerçekleştirmek ve bu çalışmalara</w:t>
      </w:r>
      <w:r>
        <w:rPr>
          <w:rFonts w:ascii="Times New Roman" w:eastAsia="Times New Roman" w:hAnsi="Times New Roman" w:cs="Times New Roman"/>
          <w:sz w:val="20"/>
          <w:szCs w:val="20"/>
          <w:lang w:eastAsia="tr-TR"/>
        </w:rPr>
        <w:t xml:space="preserve"> katkı sağlamak TKGM için de çok önemli bir deneyim sağlamaktadır.</w:t>
      </w:r>
    </w:p>
    <w:p w:rsidR="00A57529" w:rsidRPr="00A15CA5" w:rsidRDefault="00A57529" w:rsidP="00A15CA5">
      <w:pPr>
        <w:pStyle w:val="ListeParagraf"/>
        <w:ind w:left="375"/>
        <w:jc w:val="left"/>
        <w:rPr>
          <w:rFonts w:ascii="Arial" w:hAnsi="Arial" w:cs="Arial"/>
          <w:b/>
          <w:sz w:val="20"/>
          <w:szCs w:val="20"/>
        </w:rPr>
      </w:pPr>
    </w:p>
    <w:p w:rsidR="009863EC" w:rsidRPr="009863EC" w:rsidRDefault="009863EC" w:rsidP="00B77A15">
      <w:pPr>
        <w:jc w:val="left"/>
        <w:rPr>
          <w:rFonts w:ascii="Arial" w:hAnsi="Arial" w:cs="Arial"/>
          <w:b/>
        </w:rPr>
      </w:pPr>
      <w:r w:rsidRPr="009863EC">
        <w:rPr>
          <w:rFonts w:ascii="Arial" w:hAnsi="Arial" w:cs="Arial"/>
          <w:b/>
        </w:rPr>
        <w:t>Kaynaklar</w:t>
      </w:r>
    </w:p>
    <w:p w:rsidR="008508FF" w:rsidRPr="00785601" w:rsidRDefault="008508FF" w:rsidP="00B77A15">
      <w:pPr>
        <w:jc w:val="left"/>
        <w:rPr>
          <w:rFonts w:ascii="Arial" w:hAnsi="Arial" w:cs="Arial"/>
          <w:b/>
        </w:rPr>
      </w:pPr>
    </w:p>
    <w:p w:rsidR="00AC5127" w:rsidRPr="00DA211A" w:rsidRDefault="008508FF" w:rsidP="00DA211A">
      <w:pPr>
        <w:jc w:val="both"/>
        <w:rPr>
          <w:rFonts w:ascii="Times New Roman" w:eastAsia="Times New Roman" w:hAnsi="Times New Roman" w:cs="Times New Roman"/>
          <w:sz w:val="18"/>
          <w:szCs w:val="18"/>
          <w:lang w:eastAsia="tr-TR"/>
        </w:rPr>
      </w:pPr>
      <w:proofErr w:type="spellStart"/>
      <w:r w:rsidRPr="00DA211A">
        <w:rPr>
          <w:rFonts w:ascii="Times New Roman" w:eastAsia="Times New Roman" w:hAnsi="Times New Roman" w:cs="Times New Roman"/>
          <w:sz w:val="18"/>
          <w:szCs w:val="18"/>
          <w:lang w:eastAsia="tr-TR"/>
        </w:rPr>
        <w:t>Kaufmann</w:t>
      </w:r>
      <w:proofErr w:type="spellEnd"/>
      <w:r w:rsidRPr="00DA211A">
        <w:rPr>
          <w:rFonts w:ascii="Times New Roman" w:eastAsia="Times New Roman" w:hAnsi="Times New Roman" w:cs="Times New Roman"/>
          <w:sz w:val="18"/>
          <w:szCs w:val="18"/>
          <w:lang w:eastAsia="tr-TR"/>
        </w:rPr>
        <w:t>, J</w:t>
      </w:r>
      <w:proofErr w:type="gramStart"/>
      <w:r w:rsidRPr="00DA211A">
        <w:rPr>
          <w:rFonts w:ascii="Times New Roman" w:eastAsia="Times New Roman" w:hAnsi="Times New Roman" w:cs="Times New Roman"/>
          <w:sz w:val="18"/>
          <w:szCs w:val="18"/>
          <w:lang w:eastAsia="tr-TR"/>
        </w:rPr>
        <w:t>.,</w:t>
      </w:r>
      <w:proofErr w:type="gramEnd"/>
      <w:r w:rsidRPr="00DA211A">
        <w:rPr>
          <w:rFonts w:ascii="Times New Roman" w:eastAsia="Times New Roman" w:hAnsi="Times New Roman" w:cs="Times New Roman"/>
          <w:sz w:val="18"/>
          <w:szCs w:val="18"/>
          <w:lang w:eastAsia="tr-TR"/>
        </w:rPr>
        <w:t xml:space="preserve"> ve </w:t>
      </w:r>
      <w:proofErr w:type="spellStart"/>
      <w:r w:rsidRPr="00DA211A">
        <w:rPr>
          <w:rFonts w:ascii="Times New Roman" w:eastAsia="Times New Roman" w:hAnsi="Times New Roman" w:cs="Times New Roman"/>
          <w:sz w:val="18"/>
          <w:szCs w:val="18"/>
          <w:lang w:eastAsia="tr-TR"/>
        </w:rPr>
        <w:t>Steudler</w:t>
      </w:r>
      <w:proofErr w:type="spellEnd"/>
      <w:r w:rsidRPr="00DA211A">
        <w:rPr>
          <w:rFonts w:ascii="Times New Roman" w:eastAsia="Times New Roman" w:hAnsi="Times New Roman" w:cs="Times New Roman"/>
          <w:sz w:val="18"/>
          <w:szCs w:val="18"/>
          <w:lang w:eastAsia="tr-TR"/>
        </w:rPr>
        <w:t xml:space="preserve">, D., 1998. </w:t>
      </w:r>
      <w:proofErr w:type="spellStart"/>
      <w:r w:rsidRPr="00DA211A">
        <w:rPr>
          <w:rFonts w:ascii="Times New Roman" w:eastAsia="Times New Roman" w:hAnsi="Times New Roman" w:cs="Times New Roman"/>
          <w:sz w:val="18"/>
          <w:szCs w:val="18"/>
          <w:lang w:eastAsia="tr-TR"/>
        </w:rPr>
        <w:t>Cadastre</w:t>
      </w:r>
      <w:proofErr w:type="spellEnd"/>
      <w:r w:rsidRPr="00DA211A">
        <w:rPr>
          <w:rFonts w:ascii="Times New Roman" w:eastAsia="Times New Roman" w:hAnsi="Times New Roman" w:cs="Times New Roman"/>
          <w:sz w:val="18"/>
          <w:szCs w:val="18"/>
          <w:lang w:eastAsia="tr-TR"/>
        </w:rPr>
        <w:t xml:space="preserve"> 2014 – A </w:t>
      </w:r>
      <w:proofErr w:type="spellStart"/>
      <w:r w:rsidRPr="00DA211A">
        <w:rPr>
          <w:rFonts w:ascii="Times New Roman" w:eastAsia="Times New Roman" w:hAnsi="Times New Roman" w:cs="Times New Roman"/>
          <w:sz w:val="18"/>
          <w:szCs w:val="18"/>
          <w:lang w:eastAsia="tr-TR"/>
        </w:rPr>
        <w:t>Vision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for</w:t>
      </w:r>
      <w:proofErr w:type="spellEnd"/>
      <w:r w:rsidRPr="00DA211A">
        <w:rPr>
          <w:rFonts w:ascii="Times New Roman" w:eastAsia="Times New Roman" w:hAnsi="Times New Roman" w:cs="Times New Roman"/>
          <w:sz w:val="18"/>
          <w:szCs w:val="18"/>
          <w:lang w:eastAsia="tr-TR"/>
        </w:rPr>
        <w:t xml:space="preserve"> a </w:t>
      </w:r>
      <w:proofErr w:type="spellStart"/>
      <w:r w:rsidRPr="00DA211A">
        <w:rPr>
          <w:rFonts w:ascii="Times New Roman" w:eastAsia="Times New Roman" w:hAnsi="Times New Roman" w:cs="Times New Roman"/>
          <w:sz w:val="18"/>
          <w:szCs w:val="18"/>
          <w:lang w:eastAsia="tr-TR"/>
        </w:rPr>
        <w:t>Future</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Cadastral</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System</w:t>
      </w:r>
      <w:proofErr w:type="spellEnd"/>
      <w:r w:rsidRPr="00DA211A">
        <w:rPr>
          <w:rFonts w:ascii="Times New Roman" w:eastAsia="Times New Roman" w:hAnsi="Times New Roman" w:cs="Times New Roman"/>
          <w:sz w:val="18"/>
          <w:szCs w:val="18"/>
          <w:lang w:eastAsia="tr-TR"/>
        </w:rPr>
        <w:t xml:space="preserve">, FIG </w:t>
      </w:r>
      <w:proofErr w:type="spellStart"/>
      <w:r w:rsidRPr="00DA211A">
        <w:rPr>
          <w:rFonts w:ascii="Times New Roman" w:eastAsia="Times New Roman" w:hAnsi="Times New Roman" w:cs="Times New Roman"/>
          <w:sz w:val="18"/>
          <w:szCs w:val="18"/>
          <w:lang w:eastAsia="tr-TR"/>
        </w:rPr>
        <w:t>Publication</w:t>
      </w:r>
      <w:proofErr w:type="spellEnd"/>
      <w:r w:rsidRPr="00DA211A">
        <w:rPr>
          <w:rFonts w:ascii="Times New Roman" w:eastAsia="Times New Roman" w:hAnsi="Times New Roman" w:cs="Times New Roman"/>
          <w:sz w:val="18"/>
          <w:szCs w:val="18"/>
          <w:lang w:eastAsia="tr-TR"/>
        </w:rPr>
        <w:t>.</w:t>
      </w:r>
    </w:p>
    <w:p w:rsidR="00785601" w:rsidRDefault="00785601" w:rsidP="00250EE2">
      <w:pPr>
        <w:ind w:left="426" w:hanging="284"/>
        <w:jc w:val="both"/>
        <w:rPr>
          <w:rFonts w:ascii="Times New Roman" w:hAnsi="Times New Roman" w:cs="Times New Roman"/>
          <w:sz w:val="18"/>
          <w:szCs w:val="18"/>
        </w:rPr>
      </w:pPr>
    </w:p>
    <w:p w:rsidR="00E4436F" w:rsidRPr="00DA211A" w:rsidRDefault="0093533C" w:rsidP="00DA211A">
      <w:pPr>
        <w:jc w:val="both"/>
        <w:rPr>
          <w:rFonts w:ascii="Times New Roman" w:eastAsia="Times New Roman" w:hAnsi="Times New Roman" w:cs="Times New Roman"/>
          <w:sz w:val="18"/>
          <w:szCs w:val="18"/>
          <w:lang w:eastAsia="tr-TR"/>
        </w:rPr>
      </w:pPr>
      <w:r w:rsidRPr="00DA211A">
        <w:rPr>
          <w:rFonts w:ascii="Times New Roman" w:eastAsia="Times New Roman" w:hAnsi="Times New Roman" w:cs="Times New Roman"/>
          <w:sz w:val="18"/>
          <w:szCs w:val="18"/>
          <w:lang w:eastAsia="tr-TR"/>
        </w:rPr>
        <w:t xml:space="preserve">6083 Sayılı Kanun, </w:t>
      </w:r>
      <w:r w:rsidR="00E3110C" w:rsidRPr="00DA211A">
        <w:rPr>
          <w:rFonts w:ascii="Times New Roman" w:eastAsia="Times New Roman" w:hAnsi="Times New Roman" w:cs="Times New Roman"/>
          <w:sz w:val="18"/>
          <w:szCs w:val="18"/>
          <w:lang w:eastAsia="tr-TR"/>
        </w:rPr>
        <w:t>25.11.</w:t>
      </w:r>
      <w:r w:rsidRPr="00DA211A">
        <w:rPr>
          <w:rFonts w:ascii="Times New Roman" w:eastAsia="Times New Roman" w:hAnsi="Times New Roman" w:cs="Times New Roman"/>
          <w:sz w:val="18"/>
          <w:szCs w:val="18"/>
          <w:lang w:eastAsia="tr-TR"/>
        </w:rPr>
        <w:t>2010 – Tapu ve Kadastro Genel Müdürlüğü Teşkilat ve Görevleri Hakkında Kanun</w:t>
      </w:r>
      <w:r w:rsidR="00F513D3" w:rsidRPr="00DA211A">
        <w:rPr>
          <w:rFonts w:ascii="Times New Roman" w:eastAsia="Times New Roman" w:hAnsi="Times New Roman" w:cs="Times New Roman"/>
          <w:sz w:val="18"/>
          <w:szCs w:val="18"/>
          <w:lang w:eastAsia="tr-TR"/>
        </w:rPr>
        <w:t>.</w:t>
      </w:r>
    </w:p>
    <w:p w:rsidR="00F513D3" w:rsidRPr="00F513D3" w:rsidRDefault="00F513D3" w:rsidP="00250EE2">
      <w:pPr>
        <w:pStyle w:val="ListeParagraf"/>
        <w:ind w:left="426"/>
        <w:rPr>
          <w:rFonts w:ascii="Times New Roman" w:eastAsia="Times New Roman" w:hAnsi="Times New Roman" w:cs="Times New Roman"/>
          <w:sz w:val="18"/>
          <w:szCs w:val="18"/>
          <w:lang w:eastAsia="tr-TR"/>
        </w:rPr>
      </w:pPr>
    </w:p>
    <w:p w:rsidR="00250EE2" w:rsidRPr="00DA211A" w:rsidRDefault="00F513D3" w:rsidP="00DA211A">
      <w:pPr>
        <w:jc w:val="both"/>
        <w:rPr>
          <w:rFonts w:ascii="Times New Roman" w:eastAsia="Times New Roman" w:hAnsi="Times New Roman" w:cs="Times New Roman"/>
          <w:sz w:val="18"/>
          <w:szCs w:val="18"/>
          <w:lang w:eastAsia="tr-TR"/>
        </w:rPr>
      </w:pPr>
      <w:r w:rsidRPr="00DA211A">
        <w:rPr>
          <w:rFonts w:ascii="Times New Roman" w:eastAsia="Times New Roman" w:hAnsi="Times New Roman" w:cs="Times New Roman"/>
          <w:sz w:val="18"/>
          <w:szCs w:val="18"/>
          <w:lang w:eastAsia="tr-TR"/>
        </w:rPr>
        <w:t xml:space="preserve">INSPIRE, Directive 2007/2/EC of </w:t>
      </w:r>
      <w:proofErr w:type="spellStart"/>
      <w:r w:rsidRPr="00DA211A">
        <w:rPr>
          <w:rFonts w:ascii="Times New Roman" w:eastAsia="Times New Roman" w:hAnsi="Times New Roman" w:cs="Times New Roman"/>
          <w:sz w:val="18"/>
          <w:szCs w:val="18"/>
          <w:lang w:eastAsia="tr-TR"/>
        </w:rPr>
        <w:t>the</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European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Parliament</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and</w:t>
      </w:r>
      <w:proofErr w:type="spellEnd"/>
      <w:r w:rsidRPr="00DA211A">
        <w:rPr>
          <w:rFonts w:ascii="Times New Roman" w:eastAsia="Times New Roman" w:hAnsi="Times New Roman" w:cs="Times New Roman"/>
          <w:sz w:val="18"/>
          <w:szCs w:val="18"/>
          <w:lang w:eastAsia="tr-TR"/>
        </w:rPr>
        <w:t xml:space="preserve"> of </w:t>
      </w:r>
      <w:proofErr w:type="spellStart"/>
      <w:r w:rsidRPr="00DA211A">
        <w:rPr>
          <w:rFonts w:ascii="Times New Roman" w:eastAsia="Times New Roman" w:hAnsi="Times New Roman" w:cs="Times New Roman"/>
          <w:sz w:val="18"/>
          <w:szCs w:val="18"/>
          <w:lang w:eastAsia="tr-TR"/>
        </w:rPr>
        <w:t>the</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Council</w:t>
      </w:r>
      <w:proofErr w:type="spellEnd"/>
      <w:r w:rsidRPr="00DA211A">
        <w:rPr>
          <w:rFonts w:ascii="Times New Roman" w:eastAsia="Times New Roman" w:hAnsi="Times New Roman" w:cs="Times New Roman"/>
          <w:sz w:val="18"/>
          <w:szCs w:val="18"/>
          <w:lang w:eastAsia="tr-TR"/>
        </w:rPr>
        <w:t xml:space="preserve"> of 14 </w:t>
      </w:r>
      <w:proofErr w:type="spellStart"/>
      <w:r w:rsidRPr="00DA211A">
        <w:rPr>
          <w:rFonts w:ascii="Times New Roman" w:eastAsia="Times New Roman" w:hAnsi="Times New Roman" w:cs="Times New Roman"/>
          <w:sz w:val="18"/>
          <w:szCs w:val="18"/>
          <w:lang w:eastAsia="tr-TR"/>
        </w:rPr>
        <w:t>March</w:t>
      </w:r>
      <w:proofErr w:type="spellEnd"/>
      <w:r w:rsidRPr="00DA211A">
        <w:rPr>
          <w:rFonts w:ascii="Times New Roman" w:eastAsia="Times New Roman" w:hAnsi="Times New Roman" w:cs="Times New Roman"/>
          <w:sz w:val="18"/>
          <w:szCs w:val="18"/>
          <w:lang w:eastAsia="tr-TR"/>
        </w:rPr>
        <w:t xml:space="preserve"> 2007 </w:t>
      </w:r>
      <w:proofErr w:type="spellStart"/>
      <w:r w:rsidRPr="00DA211A">
        <w:rPr>
          <w:rFonts w:ascii="Times New Roman" w:eastAsia="Times New Roman" w:hAnsi="Times New Roman" w:cs="Times New Roman"/>
          <w:sz w:val="18"/>
          <w:szCs w:val="18"/>
          <w:lang w:eastAsia="tr-TR"/>
        </w:rPr>
        <w:t>establishing</w:t>
      </w:r>
      <w:proofErr w:type="spellEnd"/>
      <w:r w:rsidRPr="00DA211A">
        <w:rPr>
          <w:rFonts w:ascii="Times New Roman" w:eastAsia="Times New Roman" w:hAnsi="Times New Roman" w:cs="Times New Roman"/>
          <w:sz w:val="18"/>
          <w:szCs w:val="18"/>
          <w:lang w:eastAsia="tr-TR"/>
        </w:rPr>
        <w:t xml:space="preserve"> an </w:t>
      </w:r>
      <w:proofErr w:type="spellStart"/>
      <w:r w:rsidRPr="00DA211A">
        <w:rPr>
          <w:rFonts w:ascii="Times New Roman" w:eastAsia="Times New Roman" w:hAnsi="Times New Roman" w:cs="Times New Roman"/>
          <w:sz w:val="18"/>
          <w:szCs w:val="18"/>
          <w:lang w:eastAsia="tr-TR"/>
        </w:rPr>
        <w:t>Infrastructure</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for</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Spatial</w:t>
      </w:r>
      <w:proofErr w:type="spellEnd"/>
      <w:r w:rsidRPr="00DA211A">
        <w:rPr>
          <w:rFonts w:ascii="Times New Roman" w:eastAsia="Times New Roman" w:hAnsi="Times New Roman" w:cs="Times New Roman"/>
          <w:sz w:val="18"/>
          <w:szCs w:val="18"/>
          <w:lang w:eastAsia="tr-TR"/>
        </w:rPr>
        <w:t xml:space="preserve"> Information in </w:t>
      </w:r>
      <w:proofErr w:type="spellStart"/>
      <w:r w:rsidRPr="00DA211A">
        <w:rPr>
          <w:rFonts w:ascii="Times New Roman" w:eastAsia="Times New Roman" w:hAnsi="Times New Roman" w:cs="Times New Roman"/>
          <w:sz w:val="18"/>
          <w:szCs w:val="18"/>
          <w:lang w:eastAsia="tr-TR"/>
        </w:rPr>
        <w:t>the</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European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Community</w:t>
      </w:r>
      <w:proofErr w:type="spellEnd"/>
    </w:p>
    <w:p w:rsidR="00250EE2" w:rsidRPr="00250EE2" w:rsidRDefault="00250EE2" w:rsidP="00250EE2">
      <w:pPr>
        <w:pStyle w:val="ListeParagraf"/>
        <w:rPr>
          <w:rFonts w:ascii="Times New Roman" w:eastAsia="Times New Roman" w:hAnsi="Times New Roman" w:cs="Times New Roman"/>
          <w:sz w:val="18"/>
          <w:szCs w:val="18"/>
          <w:lang w:eastAsia="tr-TR"/>
        </w:rPr>
      </w:pPr>
    </w:p>
    <w:p w:rsidR="00250EE2" w:rsidRPr="00DA211A" w:rsidRDefault="00947E06" w:rsidP="00DA211A">
      <w:pPr>
        <w:jc w:val="both"/>
        <w:rPr>
          <w:rFonts w:ascii="Times New Roman" w:eastAsia="Times New Roman" w:hAnsi="Times New Roman" w:cs="Times New Roman"/>
          <w:sz w:val="18"/>
          <w:szCs w:val="18"/>
          <w:lang w:eastAsia="tr-TR"/>
        </w:rPr>
      </w:pPr>
      <w:proofErr w:type="spellStart"/>
      <w:r w:rsidRPr="00DA211A">
        <w:rPr>
          <w:rFonts w:ascii="Times New Roman" w:eastAsia="Times New Roman" w:hAnsi="Times New Roman" w:cs="Times New Roman"/>
          <w:sz w:val="18"/>
          <w:szCs w:val="18"/>
          <w:lang w:eastAsia="tr-TR"/>
        </w:rPr>
        <w:t>OpenGIS</w:t>
      </w:r>
      <w:proofErr w:type="spellEnd"/>
      <w:r w:rsidRPr="00DA211A">
        <w:rPr>
          <w:rFonts w:ascii="Times New Roman" w:eastAsia="Times New Roman" w:hAnsi="Times New Roman" w:cs="Times New Roman"/>
          <w:sz w:val="18"/>
          <w:szCs w:val="18"/>
          <w:lang w:eastAsia="tr-TR"/>
        </w:rPr>
        <w:t xml:space="preserve"> Web </w:t>
      </w:r>
      <w:proofErr w:type="spellStart"/>
      <w:r w:rsidRPr="00DA211A">
        <w:rPr>
          <w:rFonts w:ascii="Times New Roman" w:eastAsia="Times New Roman" w:hAnsi="Times New Roman" w:cs="Times New Roman"/>
          <w:sz w:val="18"/>
          <w:szCs w:val="18"/>
          <w:lang w:eastAsia="tr-TR"/>
        </w:rPr>
        <w:t>Map</w:t>
      </w:r>
      <w:proofErr w:type="spellEnd"/>
      <w:r w:rsidRPr="00DA211A">
        <w:rPr>
          <w:rFonts w:ascii="Times New Roman" w:eastAsia="Times New Roman" w:hAnsi="Times New Roman" w:cs="Times New Roman"/>
          <w:sz w:val="18"/>
          <w:szCs w:val="18"/>
          <w:lang w:eastAsia="tr-TR"/>
        </w:rPr>
        <w:t xml:space="preserve"> Service (WMS) </w:t>
      </w:r>
      <w:proofErr w:type="spellStart"/>
      <w:r w:rsidRPr="00DA211A">
        <w:rPr>
          <w:rFonts w:ascii="Times New Roman" w:eastAsia="Times New Roman" w:hAnsi="Times New Roman" w:cs="Times New Roman"/>
          <w:sz w:val="18"/>
          <w:szCs w:val="18"/>
          <w:lang w:eastAsia="tr-TR"/>
        </w:rPr>
        <w:t>Implementation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Specification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Jeff</w:t>
      </w:r>
      <w:proofErr w:type="spellEnd"/>
      <w:r w:rsidRPr="00DA211A">
        <w:rPr>
          <w:rFonts w:ascii="Times New Roman" w:eastAsia="Times New Roman" w:hAnsi="Times New Roman" w:cs="Times New Roman"/>
          <w:sz w:val="18"/>
          <w:szCs w:val="18"/>
          <w:lang w:eastAsia="tr-TR"/>
        </w:rPr>
        <w:t xml:space="preserve"> de La </w:t>
      </w:r>
      <w:proofErr w:type="spellStart"/>
      <w:r w:rsidRPr="00DA211A">
        <w:rPr>
          <w:rFonts w:ascii="Times New Roman" w:eastAsia="Times New Roman" w:hAnsi="Times New Roman" w:cs="Times New Roman"/>
          <w:sz w:val="18"/>
          <w:szCs w:val="18"/>
          <w:lang w:eastAsia="tr-TR"/>
        </w:rPr>
        <w:t>Beaujardiere</w:t>
      </w:r>
      <w:proofErr w:type="spellEnd"/>
      <w:r w:rsidRPr="00DA211A">
        <w:rPr>
          <w:rFonts w:ascii="Times New Roman" w:eastAsia="Times New Roman" w:hAnsi="Times New Roman" w:cs="Times New Roman"/>
          <w:sz w:val="18"/>
          <w:szCs w:val="18"/>
          <w:lang w:eastAsia="tr-TR"/>
        </w:rPr>
        <w:t xml:space="preserve"> 2006-03-15</w:t>
      </w:r>
    </w:p>
    <w:p w:rsidR="003D1714" w:rsidRPr="003D1714" w:rsidRDefault="003D1714" w:rsidP="003D1714">
      <w:pPr>
        <w:pStyle w:val="ListeParagraf"/>
        <w:rPr>
          <w:rFonts w:ascii="Times New Roman" w:eastAsia="Times New Roman" w:hAnsi="Times New Roman" w:cs="Times New Roman"/>
          <w:sz w:val="18"/>
          <w:szCs w:val="18"/>
          <w:lang w:eastAsia="tr-TR"/>
        </w:rPr>
      </w:pPr>
    </w:p>
    <w:p w:rsidR="003D1714" w:rsidRPr="00DA211A" w:rsidRDefault="003D1714" w:rsidP="00DA211A">
      <w:pPr>
        <w:jc w:val="both"/>
        <w:rPr>
          <w:rFonts w:ascii="Times New Roman" w:eastAsia="Times New Roman" w:hAnsi="Times New Roman" w:cs="Times New Roman"/>
          <w:sz w:val="18"/>
          <w:szCs w:val="18"/>
          <w:lang w:eastAsia="tr-TR"/>
        </w:rPr>
      </w:pPr>
      <w:proofErr w:type="spellStart"/>
      <w:r w:rsidRPr="00DA211A">
        <w:rPr>
          <w:rFonts w:ascii="Times New Roman" w:eastAsia="Times New Roman" w:hAnsi="Times New Roman" w:cs="Times New Roman"/>
          <w:sz w:val="18"/>
          <w:szCs w:val="18"/>
          <w:lang w:eastAsia="tr-TR"/>
        </w:rPr>
        <w:t>OpenGIS</w:t>
      </w:r>
      <w:proofErr w:type="spellEnd"/>
      <w:r w:rsidRPr="00DA211A">
        <w:rPr>
          <w:rFonts w:ascii="Times New Roman" w:eastAsia="Times New Roman" w:hAnsi="Times New Roman" w:cs="Times New Roman"/>
          <w:sz w:val="18"/>
          <w:szCs w:val="18"/>
          <w:lang w:eastAsia="tr-TR"/>
        </w:rPr>
        <w:t xml:space="preserve"> Web </w:t>
      </w:r>
      <w:proofErr w:type="spellStart"/>
      <w:r w:rsidRPr="00DA211A">
        <w:rPr>
          <w:rFonts w:ascii="Times New Roman" w:eastAsia="Times New Roman" w:hAnsi="Times New Roman" w:cs="Times New Roman"/>
          <w:sz w:val="18"/>
          <w:szCs w:val="18"/>
          <w:lang w:eastAsia="tr-TR"/>
        </w:rPr>
        <w:t>Feature</w:t>
      </w:r>
      <w:proofErr w:type="spellEnd"/>
      <w:r w:rsidRPr="00DA211A">
        <w:rPr>
          <w:rFonts w:ascii="Times New Roman" w:eastAsia="Times New Roman" w:hAnsi="Times New Roman" w:cs="Times New Roman"/>
          <w:sz w:val="18"/>
          <w:szCs w:val="18"/>
          <w:lang w:eastAsia="tr-TR"/>
        </w:rPr>
        <w:t xml:space="preserve"> Service (WFS) </w:t>
      </w:r>
      <w:proofErr w:type="spellStart"/>
      <w:r w:rsidRPr="00DA211A">
        <w:rPr>
          <w:rFonts w:ascii="Times New Roman" w:eastAsia="Times New Roman" w:hAnsi="Times New Roman" w:cs="Times New Roman"/>
          <w:sz w:val="18"/>
          <w:szCs w:val="18"/>
          <w:lang w:eastAsia="tr-TR"/>
        </w:rPr>
        <w:t>Implementation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Specification</w:t>
      </w:r>
      <w:proofErr w:type="spellEnd"/>
      <w:r w:rsidRPr="00DA211A">
        <w:rPr>
          <w:rFonts w:ascii="Times New Roman" w:eastAsia="Times New Roman" w:hAnsi="Times New Roman" w:cs="Times New Roman"/>
          <w:sz w:val="18"/>
          <w:szCs w:val="18"/>
          <w:lang w:eastAsia="tr-TR"/>
        </w:rPr>
        <w:t xml:space="preserve">, Peter </w:t>
      </w:r>
      <w:proofErr w:type="spellStart"/>
      <w:r w:rsidRPr="00DA211A">
        <w:rPr>
          <w:rFonts w:ascii="Times New Roman" w:eastAsia="Times New Roman" w:hAnsi="Times New Roman" w:cs="Times New Roman"/>
          <w:sz w:val="18"/>
          <w:szCs w:val="18"/>
          <w:lang w:eastAsia="tr-TR"/>
        </w:rPr>
        <w:t>Vretanos</w:t>
      </w:r>
      <w:proofErr w:type="spellEnd"/>
      <w:r w:rsidRPr="00DA211A">
        <w:rPr>
          <w:rFonts w:ascii="Times New Roman" w:eastAsia="Times New Roman" w:hAnsi="Times New Roman" w:cs="Times New Roman"/>
          <w:sz w:val="18"/>
          <w:szCs w:val="18"/>
          <w:lang w:eastAsia="tr-TR"/>
        </w:rPr>
        <w:t xml:space="preserve"> 2005-05-03</w:t>
      </w:r>
    </w:p>
    <w:p w:rsidR="00947E06" w:rsidRPr="00947E06" w:rsidRDefault="00947E06" w:rsidP="00947E06">
      <w:pPr>
        <w:pStyle w:val="ListeParagraf"/>
        <w:rPr>
          <w:rFonts w:ascii="Times New Roman" w:eastAsia="Times New Roman" w:hAnsi="Times New Roman" w:cs="Times New Roman"/>
          <w:sz w:val="18"/>
          <w:szCs w:val="18"/>
          <w:lang w:eastAsia="tr-TR"/>
        </w:rPr>
      </w:pPr>
    </w:p>
    <w:p w:rsidR="00947E06" w:rsidRPr="00DA211A" w:rsidRDefault="00947E06" w:rsidP="00DA211A">
      <w:pPr>
        <w:jc w:val="both"/>
        <w:rPr>
          <w:rFonts w:ascii="Times New Roman" w:eastAsia="Times New Roman" w:hAnsi="Times New Roman" w:cs="Times New Roman"/>
          <w:sz w:val="18"/>
          <w:szCs w:val="18"/>
          <w:lang w:eastAsia="tr-TR"/>
        </w:rPr>
      </w:pPr>
      <w:proofErr w:type="spellStart"/>
      <w:r w:rsidRPr="00DA211A">
        <w:rPr>
          <w:rFonts w:ascii="Times New Roman" w:eastAsia="Times New Roman" w:hAnsi="Times New Roman" w:cs="Times New Roman"/>
          <w:sz w:val="18"/>
          <w:szCs w:val="18"/>
          <w:lang w:eastAsia="tr-TR"/>
        </w:rPr>
        <w:t>OpenGIS</w:t>
      </w:r>
      <w:proofErr w:type="spellEnd"/>
      <w:r w:rsidRPr="00DA211A">
        <w:rPr>
          <w:rFonts w:ascii="Times New Roman" w:eastAsia="Times New Roman" w:hAnsi="Times New Roman" w:cs="Times New Roman"/>
          <w:sz w:val="18"/>
          <w:szCs w:val="18"/>
          <w:lang w:eastAsia="tr-TR"/>
        </w:rPr>
        <w:t xml:space="preserve"> Web </w:t>
      </w:r>
      <w:proofErr w:type="spellStart"/>
      <w:r w:rsidRPr="00DA211A">
        <w:rPr>
          <w:rFonts w:ascii="Times New Roman" w:eastAsia="Times New Roman" w:hAnsi="Times New Roman" w:cs="Times New Roman"/>
          <w:sz w:val="18"/>
          <w:szCs w:val="18"/>
          <w:lang w:eastAsia="tr-TR"/>
        </w:rPr>
        <w:t>Map</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Tile</w:t>
      </w:r>
      <w:proofErr w:type="spellEnd"/>
      <w:r w:rsidRPr="00DA211A">
        <w:rPr>
          <w:rFonts w:ascii="Times New Roman" w:eastAsia="Times New Roman" w:hAnsi="Times New Roman" w:cs="Times New Roman"/>
          <w:sz w:val="18"/>
          <w:szCs w:val="18"/>
          <w:lang w:eastAsia="tr-TR"/>
        </w:rPr>
        <w:t xml:space="preserve"> Service </w:t>
      </w:r>
      <w:proofErr w:type="spellStart"/>
      <w:r w:rsidRPr="00DA211A">
        <w:rPr>
          <w:rFonts w:ascii="Times New Roman" w:eastAsia="Times New Roman" w:hAnsi="Times New Roman" w:cs="Times New Roman"/>
          <w:sz w:val="18"/>
          <w:szCs w:val="18"/>
          <w:lang w:eastAsia="tr-TR"/>
        </w:rPr>
        <w:t>Implementation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Standard</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Joan</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Masó</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Keith</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Pomakis</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and</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Núria</w:t>
      </w:r>
      <w:proofErr w:type="spellEnd"/>
      <w:r w:rsidRPr="00DA211A">
        <w:rPr>
          <w:rFonts w:ascii="Times New Roman" w:eastAsia="Times New Roman" w:hAnsi="Times New Roman" w:cs="Times New Roman"/>
          <w:sz w:val="18"/>
          <w:szCs w:val="18"/>
          <w:lang w:eastAsia="tr-TR"/>
        </w:rPr>
        <w:t xml:space="preserve"> </w:t>
      </w:r>
      <w:proofErr w:type="spellStart"/>
      <w:r w:rsidRPr="00DA211A">
        <w:rPr>
          <w:rFonts w:ascii="Times New Roman" w:eastAsia="Times New Roman" w:hAnsi="Times New Roman" w:cs="Times New Roman"/>
          <w:sz w:val="18"/>
          <w:szCs w:val="18"/>
          <w:lang w:eastAsia="tr-TR"/>
        </w:rPr>
        <w:t>Julià</w:t>
      </w:r>
      <w:proofErr w:type="spellEnd"/>
      <w:r w:rsidRPr="00DA211A">
        <w:rPr>
          <w:rFonts w:ascii="Times New Roman" w:eastAsia="Times New Roman" w:hAnsi="Times New Roman" w:cs="Times New Roman"/>
          <w:sz w:val="18"/>
          <w:szCs w:val="18"/>
          <w:lang w:eastAsia="tr-TR"/>
        </w:rPr>
        <w:t xml:space="preserve"> 2010-04-06</w:t>
      </w:r>
    </w:p>
    <w:p w:rsidR="0081212F" w:rsidRPr="0081212F" w:rsidRDefault="0081212F" w:rsidP="0081212F">
      <w:pPr>
        <w:pStyle w:val="ListeParagraf"/>
        <w:rPr>
          <w:rFonts w:ascii="Times New Roman" w:eastAsia="Times New Roman" w:hAnsi="Times New Roman" w:cs="Times New Roman"/>
          <w:sz w:val="18"/>
          <w:szCs w:val="18"/>
          <w:lang w:eastAsia="tr-TR"/>
        </w:rPr>
      </w:pPr>
    </w:p>
    <w:p w:rsidR="0081212F" w:rsidRPr="00DA211A" w:rsidRDefault="0081212F" w:rsidP="00DA211A">
      <w:pPr>
        <w:jc w:val="both"/>
        <w:rPr>
          <w:rFonts w:ascii="Times New Roman" w:eastAsia="Times New Roman" w:hAnsi="Times New Roman" w:cs="Times New Roman"/>
          <w:sz w:val="18"/>
          <w:szCs w:val="18"/>
          <w:lang w:eastAsia="tr-TR"/>
        </w:rPr>
      </w:pPr>
      <w:r w:rsidRPr="00DA211A">
        <w:rPr>
          <w:rFonts w:ascii="Times New Roman" w:eastAsia="Times New Roman" w:hAnsi="Times New Roman" w:cs="Times New Roman"/>
          <w:sz w:val="18"/>
          <w:szCs w:val="18"/>
          <w:lang w:eastAsia="tr-TR"/>
        </w:rPr>
        <w:t xml:space="preserve">DPT Bilgi Toplumu Dairesi, 2007, e-Dönüşüm Türkiye Projesi Birlikte Çalışabilirlik Esasları Rehberi Sürüm </w:t>
      </w:r>
      <w:proofErr w:type="gramStart"/>
      <w:r w:rsidRPr="00DA211A">
        <w:rPr>
          <w:rFonts w:ascii="Times New Roman" w:eastAsia="Times New Roman" w:hAnsi="Times New Roman" w:cs="Times New Roman"/>
          <w:sz w:val="18"/>
          <w:szCs w:val="18"/>
          <w:lang w:eastAsia="tr-TR"/>
        </w:rPr>
        <w:t>2.0</w:t>
      </w:r>
      <w:proofErr w:type="gramEnd"/>
      <w:r w:rsidR="00F070DF" w:rsidRPr="00DA211A">
        <w:rPr>
          <w:rFonts w:ascii="Times New Roman" w:eastAsia="Times New Roman" w:hAnsi="Times New Roman" w:cs="Times New Roman"/>
          <w:sz w:val="18"/>
          <w:szCs w:val="18"/>
          <w:lang w:eastAsia="tr-TR"/>
        </w:rPr>
        <w:t>.</w:t>
      </w:r>
    </w:p>
    <w:p w:rsidR="00F513D3" w:rsidRDefault="00F513D3" w:rsidP="00785601">
      <w:pPr>
        <w:ind w:left="284" w:hanging="284"/>
        <w:jc w:val="both"/>
        <w:rPr>
          <w:rFonts w:ascii="Times New Roman" w:eastAsia="Times New Roman" w:hAnsi="Times New Roman" w:cs="Times New Roman"/>
          <w:sz w:val="18"/>
          <w:szCs w:val="18"/>
          <w:lang w:eastAsia="tr-TR"/>
        </w:rPr>
      </w:pPr>
    </w:p>
    <w:p w:rsidR="00F513D3" w:rsidRPr="00785601" w:rsidRDefault="00F513D3" w:rsidP="00785601">
      <w:pPr>
        <w:ind w:left="284" w:hanging="284"/>
        <w:jc w:val="both"/>
        <w:rPr>
          <w:rFonts w:ascii="Times New Roman" w:hAnsi="Times New Roman" w:cs="Times New Roman"/>
          <w:sz w:val="18"/>
          <w:szCs w:val="18"/>
        </w:rPr>
      </w:pPr>
    </w:p>
    <w:sectPr w:rsidR="00F513D3" w:rsidRPr="00785601" w:rsidSect="00DA211A">
      <w:headerReference w:type="even" r:id="rId20"/>
      <w:headerReference w:type="default" r:id="rId21"/>
      <w:headerReference w:type="first" r:id="rId22"/>
      <w:footerReference w:type="first" r:id="rId23"/>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1CE" w:rsidRDefault="00F621CE" w:rsidP="00035DC5">
      <w:r>
        <w:separator/>
      </w:r>
    </w:p>
  </w:endnote>
  <w:endnote w:type="continuationSeparator" w:id="0">
    <w:p w:rsidR="00F621CE" w:rsidRDefault="00F621CE"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xml:space="preserve">* </w:t>
    </w:r>
    <w:r w:rsidR="00DA211A">
      <w:rPr>
        <w:rFonts w:ascii="Arial" w:hAnsi="Arial" w:cs="Arial"/>
        <w:noProof/>
        <w:sz w:val="16"/>
        <w:szCs w:val="16"/>
      </w:rPr>
      <w:t>Sorumlu Yazar</w:t>
    </w:r>
    <w:r w:rsidRPr="00384A01">
      <w:rPr>
        <w:rFonts w:ascii="Arial" w:hAnsi="Arial" w:cs="Arial"/>
        <w:noProof/>
        <w:sz w:val="16"/>
        <w:szCs w:val="16"/>
      </w:rPr>
      <w:t>: Tel: +90 (</w:t>
    </w:r>
    <w:r w:rsidR="00D863FF">
      <w:rPr>
        <w:rFonts w:ascii="Arial" w:hAnsi="Arial" w:cs="Arial"/>
        <w:noProof/>
        <w:sz w:val="16"/>
        <w:szCs w:val="16"/>
      </w:rPr>
      <w:t>312</w:t>
    </w:r>
    <w:r w:rsidRPr="00384A01">
      <w:rPr>
        <w:rFonts w:ascii="Arial" w:hAnsi="Arial" w:cs="Arial"/>
        <w:noProof/>
        <w:sz w:val="16"/>
        <w:szCs w:val="16"/>
      </w:rPr>
      <w:t xml:space="preserve">) </w:t>
    </w:r>
    <w:r w:rsidR="00D863FF">
      <w:rPr>
        <w:rFonts w:ascii="Arial" w:hAnsi="Arial" w:cs="Arial"/>
        <w:noProof/>
        <w:sz w:val="16"/>
        <w:szCs w:val="16"/>
      </w:rPr>
      <w:t>4136559</w:t>
    </w:r>
    <w:r w:rsidRPr="00384A01">
      <w:rPr>
        <w:rFonts w:ascii="Arial" w:hAnsi="Arial" w:cs="Arial"/>
        <w:noProof/>
        <w:sz w:val="16"/>
        <w:szCs w:val="16"/>
      </w:rPr>
      <w:t xml:space="preserve"> Faks: +90 (</w:t>
    </w:r>
    <w:r w:rsidR="00D863FF">
      <w:rPr>
        <w:rFonts w:ascii="Arial" w:hAnsi="Arial" w:cs="Arial"/>
        <w:noProof/>
        <w:sz w:val="16"/>
        <w:szCs w:val="16"/>
      </w:rPr>
      <w:t>312</w:t>
    </w:r>
    <w:r w:rsidRPr="00384A01">
      <w:rPr>
        <w:rFonts w:ascii="Arial" w:hAnsi="Arial" w:cs="Arial"/>
        <w:noProof/>
        <w:sz w:val="16"/>
        <w:szCs w:val="16"/>
      </w:rPr>
      <w:t xml:space="preserve">) </w:t>
    </w:r>
    <w:r w:rsidR="00D863FF">
      <w:rPr>
        <w:rFonts w:ascii="Arial" w:hAnsi="Arial" w:cs="Arial"/>
        <w:noProof/>
        <w:sz w:val="16"/>
        <w:szCs w:val="16"/>
      </w:rPr>
      <w:t>4136805</w:t>
    </w:r>
    <w:r w:rsidRPr="00384A01">
      <w:rPr>
        <w:rFonts w:ascii="Arial" w:hAnsi="Arial" w:cs="Arial"/>
        <w:noProof/>
        <w:sz w:val="16"/>
        <w:szCs w:val="16"/>
      </w:rPr>
      <w:t xml:space="preserve">                                                            </w:t>
    </w:r>
  </w:p>
  <w:p w:rsidR="00D863FF" w:rsidRDefault="006E2FAE" w:rsidP="006E2FAE">
    <w:pPr>
      <w:pStyle w:val="Altbilgi"/>
      <w:pBdr>
        <w:top w:val="single" w:sz="4" w:space="1" w:color="A5A5A5" w:themeColor="background1" w:themeShade="A5"/>
      </w:pBdr>
      <w:jc w:val="left"/>
      <w:rPr>
        <w:rFonts w:ascii="Arial" w:hAnsi="Arial" w:cs="Arial"/>
        <w:noProof/>
        <w:sz w:val="16"/>
        <w:szCs w:val="16"/>
      </w:rPr>
    </w:pPr>
    <w:r w:rsidRPr="00384A01">
      <w:rPr>
        <w:rFonts w:ascii="Arial" w:hAnsi="Arial" w:cs="Arial"/>
        <w:noProof/>
        <w:sz w:val="16"/>
        <w:szCs w:val="16"/>
      </w:rPr>
      <w:t xml:space="preserve">E-posta: </w:t>
    </w:r>
    <w:hyperlink r:id="rId1" w:history="1">
      <w:r w:rsidR="00D863FF" w:rsidRPr="005A045F">
        <w:rPr>
          <w:rStyle w:val="Kpr"/>
          <w:rFonts w:ascii="Arial" w:hAnsi="Arial" w:cs="Arial"/>
          <w:noProof/>
          <w:sz w:val="16"/>
          <w:szCs w:val="16"/>
        </w:rPr>
        <w:t>bkeser@tkgm.gov.tr</w:t>
      </w:r>
    </w:hyperlink>
    <w:r w:rsidR="00D863FF">
      <w:rPr>
        <w:rFonts w:ascii="Arial" w:hAnsi="Arial" w:cs="Arial"/>
        <w:noProof/>
        <w:sz w:val="16"/>
        <w:szCs w:val="16"/>
      </w:rPr>
      <w:t xml:space="preserve"> (Abdullah Burak K.), myasinoz</w:t>
    </w:r>
    <w:r w:rsidRPr="00384A01">
      <w:rPr>
        <w:rFonts w:ascii="Arial" w:hAnsi="Arial" w:cs="Arial"/>
        <w:noProof/>
        <w:sz w:val="16"/>
        <w:szCs w:val="16"/>
      </w:rPr>
      <w:t>@</w:t>
    </w:r>
    <w:r w:rsidR="00D863FF">
      <w:rPr>
        <w:rFonts w:ascii="Arial" w:hAnsi="Arial" w:cs="Arial"/>
        <w:noProof/>
        <w:sz w:val="16"/>
        <w:szCs w:val="16"/>
      </w:rPr>
      <w:t>tkgm.gov.tr</w:t>
    </w:r>
    <w:r w:rsidRPr="00384A01">
      <w:rPr>
        <w:rFonts w:ascii="Arial" w:hAnsi="Arial" w:cs="Arial"/>
        <w:noProof/>
        <w:sz w:val="16"/>
        <w:szCs w:val="16"/>
      </w:rPr>
      <w:t xml:space="preserve"> (</w:t>
    </w:r>
    <w:r w:rsidR="00D863FF">
      <w:rPr>
        <w:rFonts w:ascii="Arial" w:hAnsi="Arial" w:cs="Arial"/>
        <w:noProof/>
        <w:sz w:val="16"/>
        <w:szCs w:val="16"/>
      </w:rPr>
      <w:t>Mert Yasin Ö.</w:t>
    </w:r>
    <w:r w:rsidRPr="00384A01">
      <w:rPr>
        <w:rFonts w:ascii="Arial" w:hAnsi="Arial" w:cs="Arial"/>
        <w:noProof/>
        <w:sz w:val="16"/>
        <w:szCs w:val="16"/>
      </w:rPr>
      <w:t xml:space="preserve">), </w:t>
    </w:r>
    <w:hyperlink r:id="rId2" w:history="1">
      <w:r w:rsidR="00D863FF" w:rsidRPr="005A045F">
        <w:rPr>
          <w:rStyle w:val="Kpr"/>
          <w:rFonts w:ascii="Arial" w:hAnsi="Arial" w:cs="Arial"/>
          <w:noProof/>
          <w:sz w:val="16"/>
          <w:szCs w:val="16"/>
        </w:rPr>
        <w:t>hkucuk@tkgm.gov.tr</w:t>
      </w:r>
    </w:hyperlink>
    <w:r w:rsidR="00D863FF">
      <w:rPr>
        <w:rFonts w:ascii="Arial" w:hAnsi="Arial" w:cs="Arial"/>
        <w:noProof/>
        <w:sz w:val="16"/>
        <w:szCs w:val="16"/>
      </w:rPr>
      <w:t xml:space="preserve"> (Hüseyin K.), </w:t>
    </w:r>
  </w:p>
  <w:p w:rsidR="006E2FAE" w:rsidRPr="00384A01" w:rsidRDefault="00D863FF" w:rsidP="006E2FAE">
    <w:pPr>
      <w:pStyle w:val="Altbilgi"/>
      <w:pBdr>
        <w:top w:val="single" w:sz="4" w:space="1" w:color="A5A5A5" w:themeColor="background1" w:themeShade="A5"/>
      </w:pBdr>
      <w:jc w:val="left"/>
      <w:rPr>
        <w:rFonts w:ascii="Arial" w:hAnsi="Arial" w:cs="Arial"/>
        <w:sz w:val="16"/>
        <w:szCs w:val="16"/>
      </w:rPr>
    </w:pPr>
    <w:r>
      <w:rPr>
        <w:rFonts w:ascii="Arial" w:hAnsi="Arial" w:cs="Arial"/>
        <w:noProof/>
        <w:sz w:val="16"/>
        <w:szCs w:val="16"/>
      </w:rPr>
      <w:t xml:space="preserve">               </w:t>
    </w:r>
    <w:hyperlink r:id="rId3" w:history="1">
      <w:r w:rsidRPr="005A045F">
        <w:rPr>
          <w:rStyle w:val="Kpr"/>
          <w:rFonts w:ascii="Arial" w:hAnsi="Arial" w:cs="Arial"/>
          <w:noProof/>
          <w:sz w:val="16"/>
          <w:szCs w:val="16"/>
        </w:rPr>
        <w:t>tk32514@tkgm.gov.tr</w:t>
      </w:r>
    </w:hyperlink>
    <w:r>
      <w:rPr>
        <w:rFonts w:ascii="Arial" w:hAnsi="Arial" w:cs="Arial"/>
        <w:noProof/>
        <w:sz w:val="16"/>
        <w:szCs w:val="16"/>
      </w:rPr>
      <w:t xml:space="preserve"> (Hasan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1CE" w:rsidRDefault="00F621CE" w:rsidP="00035DC5">
      <w:r>
        <w:separator/>
      </w:r>
    </w:p>
  </w:footnote>
  <w:footnote w:type="continuationSeparator" w:id="0">
    <w:p w:rsidR="00F621CE" w:rsidRDefault="00F621CE"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4D5" w:rsidRPr="00384A01" w:rsidRDefault="0097373F"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Tapu ve Kadastro Genel Müdürlüğü Mekânsal Gayrimenkul Sistemi ve Uygulamaları</w:t>
    </w:r>
    <w:r w:rsidR="00F60BD8" w:rsidRPr="00384A01">
      <w:rPr>
        <w:rFonts w:ascii="Arial" w:hAnsi="Arial" w:cs="Arial"/>
        <w:i/>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384A01" w:rsidRDefault="00846BCB">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Abdullah Burak KESER, Mert Yasin ÖZ, Hüseyin KÜÇÜK, Hasan BİNBOĞA</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7503BA"/>
    <w:multiLevelType w:val="hybridMultilevel"/>
    <w:tmpl w:val="64EACC00"/>
    <w:lvl w:ilvl="0" w:tplc="336E75B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EE77A8"/>
    <w:multiLevelType w:val="hybridMultilevel"/>
    <w:tmpl w:val="87C6353E"/>
    <w:lvl w:ilvl="0" w:tplc="E326D47C">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ABA16EB"/>
    <w:multiLevelType w:val="hybridMultilevel"/>
    <w:tmpl w:val="09EE2D72"/>
    <w:lvl w:ilvl="0" w:tplc="B52CEC9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CAE0097"/>
    <w:multiLevelType w:val="hybridMultilevel"/>
    <w:tmpl w:val="7E805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BB57220"/>
    <w:multiLevelType w:val="multilevel"/>
    <w:tmpl w:val="262EFD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6"/>
  </w:num>
  <w:num w:numId="4">
    <w:abstractNumId w:val="0"/>
  </w:num>
  <w:num w:numId="5">
    <w:abstractNumId w:val="13"/>
  </w:num>
  <w:num w:numId="6">
    <w:abstractNumId w:val="1"/>
  </w:num>
  <w:num w:numId="7">
    <w:abstractNumId w:val="8"/>
  </w:num>
  <w:num w:numId="8">
    <w:abstractNumId w:val="3"/>
  </w:num>
  <w:num w:numId="9">
    <w:abstractNumId w:val="12"/>
  </w:num>
  <w:num w:numId="10">
    <w:abstractNumId w:val="9"/>
  </w:num>
  <w:num w:numId="11">
    <w:abstractNumId w:val="2"/>
  </w:num>
  <w:num w:numId="12">
    <w:abstractNumId w:val="5"/>
  </w:num>
  <w:num w:numId="13">
    <w:abstractNumId w:val="10"/>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108B7"/>
    <w:rsid w:val="00010BB4"/>
    <w:rsid w:val="00022F4B"/>
    <w:rsid w:val="00023335"/>
    <w:rsid w:val="000249D5"/>
    <w:rsid w:val="00024A9E"/>
    <w:rsid w:val="00025D38"/>
    <w:rsid w:val="0002711A"/>
    <w:rsid w:val="000322F6"/>
    <w:rsid w:val="0003413F"/>
    <w:rsid w:val="00035DC5"/>
    <w:rsid w:val="000404FB"/>
    <w:rsid w:val="00040A28"/>
    <w:rsid w:val="00041E1F"/>
    <w:rsid w:val="00042516"/>
    <w:rsid w:val="00045904"/>
    <w:rsid w:val="00050809"/>
    <w:rsid w:val="00051220"/>
    <w:rsid w:val="00052363"/>
    <w:rsid w:val="0005301E"/>
    <w:rsid w:val="00053284"/>
    <w:rsid w:val="00053918"/>
    <w:rsid w:val="00060318"/>
    <w:rsid w:val="000630BB"/>
    <w:rsid w:val="0006399C"/>
    <w:rsid w:val="000715DE"/>
    <w:rsid w:val="00072F64"/>
    <w:rsid w:val="00077928"/>
    <w:rsid w:val="00081450"/>
    <w:rsid w:val="000841DB"/>
    <w:rsid w:val="0008484D"/>
    <w:rsid w:val="00085162"/>
    <w:rsid w:val="00085542"/>
    <w:rsid w:val="00085D74"/>
    <w:rsid w:val="0009181C"/>
    <w:rsid w:val="000921FB"/>
    <w:rsid w:val="0009637A"/>
    <w:rsid w:val="000A07EC"/>
    <w:rsid w:val="000A2958"/>
    <w:rsid w:val="000A3203"/>
    <w:rsid w:val="000B167F"/>
    <w:rsid w:val="000B452C"/>
    <w:rsid w:val="000B5B9C"/>
    <w:rsid w:val="000B7576"/>
    <w:rsid w:val="000D2360"/>
    <w:rsid w:val="000D41CE"/>
    <w:rsid w:val="000D4810"/>
    <w:rsid w:val="000D49FE"/>
    <w:rsid w:val="000D58AA"/>
    <w:rsid w:val="000D618D"/>
    <w:rsid w:val="000D6DC5"/>
    <w:rsid w:val="000E13A1"/>
    <w:rsid w:val="000E20CE"/>
    <w:rsid w:val="000E312F"/>
    <w:rsid w:val="000E37C8"/>
    <w:rsid w:val="000F4E68"/>
    <w:rsid w:val="000F547B"/>
    <w:rsid w:val="000F6255"/>
    <w:rsid w:val="00100D5D"/>
    <w:rsid w:val="001036C1"/>
    <w:rsid w:val="00103E7C"/>
    <w:rsid w:val="00106327"/>
    <w:rsid w:val="00117818"/>
    <w:rsid w:val="00120A37"/>
    <w:rsid w:val="00131981"/>
    <w:rsid w:val="00133389"/>
    <w:rsid w:val="001347C8"/>
    <w:rsid w:val="00134A73"/>
    <w:rsid w:val="00136200"/>
    <w:rsid w:val="001364D1"/>
    <w:rsid w:val="001406A4"/>
    <w:rsid w:val="00143B36"/>
    <w:rsid w:val="00144B86"/>
    <w:rsid w:val="00147C1F"/>
    <w:rsid w:val="00150C5D"/>
    <w:rsid w:val="001514A5"/>
    <w:rsid w:val="00157522"/>
    <w:rsid w:val="0016037E"/>
    <w:rsid w:val="00161439"/>
    <w:rsid w:val="00163003"/>
    <w:rsid w:val="001649E8"/>
    <w:rsid w:val="00166C6D"/>
    <w:rsid w:val="0017381E"/>
    <w:rsid w:val="00176121"/>
    <w:rsid w:val="00177FC2"/>
    <w:rsid w:val="00181C6F"/>
    <w:rsid w:val="00186117"/>
    <w:rsid w:val="001934AC"/>
    <w:rsid w:val="001953CB"/>
    <w:rsid w:val="001971B2"/>
    <w:rsid w:val="001A0DD7"/>
    <w:rsid w:val="001A1AD6"/>
    <w:rsid w:val="001A696D"/>
    <w:rsid w:val="001A7D49"/>
    <w:rsid w:val="001B0F83"/>
    <w:rsid w:val="001B50F8"/>
    <w:rsid w:val="001B5518"/>
    <w:rsid w:val="001B5804"/>
    <w:rsid w:val="001B7914"/>
    <w:rsid w:val="001C2CED"/>
    <w:rsid w:val="001C62F5"/>
    <w:rsid w:val="001C7D88"/>
    <w:rsid w:val="001D5B66"/>
    <w:rsid w:val="001D65D4"/>
    <w:rsid w:val="001D7159"/>
    <w:rsid w:val="001E359E"/>
    <w:rsid w:val="001E60D4"/>
    <w:rsid w:val="001F0652"/>
    <w:rsid w:val="002054FB"/>
    <w:rsid w:val="00206436"/>
    <w:rsid w:val="00210EE8"/>
    <w:rsid w:val="00213F65"/>
    <w:rsid w:val="00223B0D"/>
    <w:rsid w:val="0022580C"/>
    <w:rsid w:val="00230C2D"/>
    <w:rsid w:val="0023158A"/>
    <w:rsid w:val="002323EC"/>
    <w:rsid w:val="00234D4D"/>
    <w:rsid w:val="002359B2"/>
    <w:rsid w:val="00237BE5"/>
    <w:rsid w:val="002441D7"/>
    <w:rsid w:val="00246570"/>
    <w:rsid w:val="00250EE2"/>
    <w:rsid w:val="00252D90"/>
    <w:rsid w:val="00256811"/>
    <w:rsid w:val="00260929"/>
    <w:rsid w:val="0026110D"/>
    <w:rsid w:val="002639F3"/>
    <w:rsid w:val="00265080"/>
    <w:rsid w:val="00280543"/>
    <w:rsid w:val="00280762"/>
    <w:rsid w:val="002811A4"/>
    <w:rsid w:val="00286DFC"/>
    <w:rsid w:val="002A2276"/>
    <w:rsid w:val="002A24E3"/>
    <w:rsid w:val="002A3BAA"/>
    <w:rsid w:val="002B08D7"/>
    <w:rsid w:val="002B42E1"/>
    <w:rsid w:val="002B4785"/>
    <w:rsid w:val="002B4FEF"/>
    <w:rsid w:val="002C4266"/>
    <w:rsid w:val="002C7742"/>
    <w:rsid w:val="002D4954"/>
    <w:rsid w:val="002D7546"/>
    <w:rsid w:val="002E1802"/>
    <w:rsid w:val="002E1E74"/>
    <w:rsid w:val="002E3934"/>
    <w:rsid w:val="002E5768"/>
    <w:rsid w:val="002E6CC0"/>
    <w:rsid w:val="002F186D"/>
    <w:rsid w:val="002F23BC"/>
    <w:rsid w:val="002F2668"/>
    <w:rsid w:val="002F3523"/>
    <w:rsid w:val="002F48A5"/>
    <w:rsid w:val="002F7353"/>
    <w:rsid w:val="0030127F"/>
    <w:rsid w:val="00305FA9"/>
    <w:rsid w:val="00306E75"/>
    <w:rsid w:val="0030727C"/>
    <w:rsid w:val="0031342C"/>
    <w:rsid w:val="003154FC"/>
    <w:rsid w:val="003164D5"/>
    <w:rsid w:val="00320C5A"/>
    <w:rsid w:val="00320F15"/>
    <w:rsid w:val="00321577"/>
    <w:rsid w:val="00322E6E"/>
    <w:rsid w:val="0032400A"/>
    <w:rsid w:val="003246B7"/>
    <w:rsid w:val="00324BF4"/>
    <w:rsid w:val="00325F9F"/>
    <w:rsid w:val="00330646"/>
    <w:rsid w:val="00330B06"/>
    <w:rsid w:val="003310B8"/>
    <w:rsid w:val="00332563"/>
    <w:rsid w:val="003350C9"/>
    <w:rsid w:val="00336197"/>
    <w:rsid w:val="00345028"/>
    <w:rsid w:val="00346CE0"/>
    <w:rsid w:val="00347265"/>
    <w:rsid w:val="00352B88"/>
    <w:rsid w:val="00353677"/>
    <w:rsid w:val="0036481E"/>
    <w:rsid w:val="00366A7B"/>
    <w:rsid w:val="0036718A"/>
    <w:rsid w:val="003700FB"/>
    <w:rsid w:val="00374F8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1C24"/>
    <w:rsid w:val="003C32B3"/>
    <w:rsid w:val="003C3B68"/>
    <w:rsid w:val="003C5578"/>
    <w:rsid w:val="003C6042"/>
    <w:rsid w:val="003C60C1"/>
    <w:rsid w:val="003C6D10"/>
    <w:rsid w:val="003D1714"/>
    <w:rsid w:val="003D191E"/>
    <w:rsid w:val="003D45C2"/>
    <w:rsid w:val="003D5927"/>
    <w:rsid w:val="003D6D8D"/>
    <w:rsid w:val="003E26DE"/>
    <w:rsid w:val="003E34C8"/>
    <w:rsid w:val="003E3C82"/>
    <w:rsid w:val="003E4250"/>
    <w:rsid w:val="003E4318"/>
    <w:rsid w:val="003E4DD3"/>
    <w:rsid w:val="003E582B"/>
    <w:rsid w:val="003E739F"/>
    <w:rsid w:val="003E782E"/>
    <w:rsid w:val="003F0D90"/>
    <w:rsid w:val="003F4717"/>
    <w:rsid w:val="003F472B"/>
    <w:rsid w:val="003F6113"/>
    <w:rsid w:val="003F7E8F"/>
    <w:rsid w:val="0040415F"/>
    <w:rsid w:val="00405C41"/>
    <w:rsid w:val="00410780"/>
    <w:rsid w:val="004117D6"/>
    <w:rsid w:val="00413B22"/>
    <w:rsid w:val="00414760"/>
    <w:rsid w:val="00414E0D"/>
    <w:rsid w:val="00416A0F"/>
    <w:rsid w:val="004173A5"/>
    <w:rsid w:val="00420C19"/>
    <w:rsid w:val="00434FA7"/>
    <w:rsid w:val="00443A93"/>
    <w:rsid w:val="00445177"/>
    <w:rsid w:val="00461C28"/>
    <w:rsid w:val="00461FF6"/>
    <w:rsid w:val="0046335F"/>
    <w:rsid w:val="0046412B"/>
    <w:rsid w:val="00471603"/>
    <w:rsid w:val="004723FF"/>
    <w:rsid w:val="0047400E"/>
    <w:rsid w:val="00474DF8"/>
    <w:rsid w:val="00474EBC"/>
    <w:rsid w:val="00477D1F"/>
    <w:rsid w:val="00480730"/>
    <w:rsid w:val="00481F8C"/>
    <w:rsid w:val="004844C9"/>
    <w:rsid w:val="00487B3F"/>
    <w:rsid w:val="0049335F"/>
    <w:rsid w:val="00496B94"/>
    <w:rsid w:val="004A3550"/>
    <w:rsid w:val="004A4059"/>
    <w:rsid w:val="004B3880"/>
    <w:rsid w:val="004B7EEA"/>
    <w:rsid w:val="004C3DE3"/>
    <w:rsid w:val="004C462A"/>
    <w:rsid w:val="004C75BA"/>
    <w:rsid w:val="004D1808"/>
    <w:rsid w:val="004E4747"/>
    <w:rsid w:val="004E5F06"/>
    <w:rsid w:val="004E7E91"/>
    <w:rsid w:val="004E7F02"/>
    <w:rsid w:val="004F1C02"/>
    <w:rsid w:val="004F2029"/>
    <w:rsid w:val="004F52E3"/>
    <w:rsid w:val="004F67CE"/>
    <w:rsid w:val="004F6A3F"/>
    <w:rsid w:val="004F6C20"/>
    <w:rsid w:val="004F6F3A"/>
    <w:rsid w:val="0050162E"/>
    <w:rsid w:val="00502167"/>
    <w:rsid w:val="005054C7"/>
    <w:rsid w:val="00505C7B"/>
    <w:rsid w:val="00506765"/>
    <w:rsid w:val="00507CE2"/>
    <w:rsid w:val="00511610"/>
    <w:rsid w:val="005125D2"/>
    <w:rsid w:val="00515524"/>
    <w:rsid w:val="00527ADD"/>
    <w:rsid w:val="00531216"/>
    <w:rsid w:val="00537653"/>
    <w:rsid w:val="0053768D"/>
    <w:rsid w:val="005514BE"/>
    <w:rsid w:val="0055421D"/>
    <w:rsid w:val="00555CEB"/>
    <w:rsid w:val="00556112"/>
    <w:rsid w:val="005609AB"/>
    <w:rsid w:val="00560CC3"/>
    <w:rsid w:val="0056388A"/>
    <w:rsid w:val="00564DA8"/>
    <w:rsid w:val="00570B0D"/>
    <w:rsid w:val="00570FF4"/>
    <w:rsid w:val="005770D1"/>
    <w:rsid w:val="005803D0"/>
    <w:rsid w:val="00580ED5"/>
    <w:rsid w:val="00582273"/>
    <w:rsid w:val="005840B3"/>
    <w:rsid w:val="00591D37"/>
    <w:rsid w:val="005A070F"/>
    <w:rsid w:val="005B09C9"/>
    <w:rsid w:val="005B2B3E"/>
    <w:rsid w:val="005B5B24"/>
    <w:rsid w:val="005B68E7"/>
    <w:rsid w:val="005C076E"/>
    <w:rsid w:val="005C2181"/>
    <w:rsid w:val="005C68BC"/>
    <w:rsid w:val="005D53F0"/>
    <w:rsid w:val="005D747D"/>
    <w:rsid w:val="005E162B"/>
    <w:rsid w:val="005E4B5E"/>
    <w:rsid w:val="005E5CC5"/>
    <w:rsid w:val="005E62BA"/>
    <w:rsid w:val="0060046D"/>
    <w:rsid w:val="006022A3"/>
    <w:rsid w:val="00604A5E"/>
    <w:rsid w:val="00607563"/>
    <w:rsid w:val="00611F81"/>
    <w:rsid w:val="0061242B"/>
    <w:rsid w:val="00616146"/>
    <w:rsid w:val="00617179"/>
    <w:rsid w:val="00621F2A"/>
    <w:rsid w:val="00624B74"/>
    <w:rsid w:val="00625117"/>
    <w:rsid w:val="00632A79"/>
    <w:rsid w:val="0064004B"/>
    <w:rsid w:val="00640587"/>
    <w:rsid w:val="006554EA"/>
    <w:rsid w:val="00656215"/>
    <w:rsid w:val="00657860"/>
    <w:rsid w:val="00661714"/>
    <w:rsid w:val="006627FF"/>
    <w:rsid w:val="00664BEA"/>
    <w:rsid w:val="00665371"/>
    <w:rsid w:val="0066670C"/>
    <w:rsid w:val="00671C14"/>
    <w:rsid w:val="006728A6"/>
    <w:rsid w:val="006802D0"/>
    <w:rsid w:val="00690045"/>
    <w:rsid w:val="006902DC"/>
    <w:rsid w:val="00694844"/>
    <w:rsid w:val="006954F8"/>
    <w:rsid w:val="0069552F"/>
    <w:rsid w:val="0069692D"/>
    <w:rsid w:val="00697D83"/>
    <w:rsid w:val="006B1F87"/>
    <w:rsid w:val="006B237D"/>
    <w:rsid w:val="006B371F"/>
    <w:rsid w:val="006B6955"/>
    <w:rsid w:val="006C03E0"/>
    <w:rsid w:val="006C21B2"/>
    <w:rsid w:val="006C623D"/>
    <w:rsid w:val="006C64E9"/>
    <w:rsid w:val="006D2826"/>
    <w:rsid w:val="006D35BF"/>
    <w:rsid w:val="006D39A2"/>
    <w:rsid w:val="006D7C87"/>
    <w:rsid w:val="006E2B17"/>
    <w:rsid w:val="006E2FAE"/>
    <w:rsid w:val="006E618F"/>
    <w:rsid w:val="006F0A7A"/>
    <w:rsid w:val="006F1B08"/>
    <w:rsid w:val="00700349"/>
    <w:rsid w:val="00704CCF"/>
    <w:rsid w:val="007072E3"/>
    <w:rsid w:val="00707EED"/>
    <w:rsid w:val="00710F75"/>
    <w:rsid w:val="00711372"/>
    <w:rsid w:val="00711E7C"/>
    <w:rsid w:val="007158E5"/>
    <w:rsid w:val="007177F7"/>
    <w:rsid w:val="00727EC0"/>
    <w:rsid w:val="00730029"/>
    <w:rsid w:val="007332CA"/>
    <w:rsid w:val="00735B1B"/>
    <w:rsid w:val="00736CE8"/>
    <w:rsid w:val="00736E61"/>
    <w:rsid w:val="00736EE9"/>
    <w:rsid w:val="00736EF1"/>
    <w:rsid w:val="00740C25"/>
    <w:rsid w:val="00740F32"/>
    <w:rsid w:val="00744087"/>
    <w:rsid w:val="007466B9"/>
    <w:rsid w:val="00761403"/>
    <w:rsid w:val="00764EF5"/>
    <w:rsid w:val="00767717"/>
    <w:rsid w:val="00767C28"/>
    <w:rsid w:val="00772A59"/>
    <w:rsid w:val="007747EE"/>
    <w:rsid w:val="00774D1A"/>
    <w:rsid w:val="0077615B"/>
    <w:rsid w:val="00777F97"/>
    <w:rsid w:val="0078395D"/>
    <w:rsid w:val="0078406E"/>
    <w:rsid w:val="00785549"/>
    <w:rsid w:val="00785601"/>
    <w:rsid w:val="007870E7"/>
    <w:rsid w:val="00790B9F"/>
    <w:rsid w:val="00790F72"/>
    <w:rsid w:val="007B2951"/>
    <w:rsid w:val="007B34BE"/>
    <w:rsid w:val="007B48AE"/>
    <w:rsid w:val="007B6230"/>
    <w:rsid w:val="007B72B2"/>
    <w:rsid w:val="007C0B6B"/>
    <w:rsid w:val="007C15B7"/>
    <w:rsid w:val="007C1D6E"/>
    <w:rsid w:val="007C2E54"/>
    <w:rsid w:val="007C4B83"/>
    <w:rsid w:val="007C7DB4"/>
    <w:rsid w:val="007D665C"/>
    <w:rsid w:val="007D6782"/>
    <w:rsid w:val="007E01A0"/>
    <w:rsid w:val="007E2401"/>
    <w:rsid w:val="007E2F0F"/>
    <w:rsid w:val="007E321F"/>
    <w:rsid w:val="007F0ED6"/>
    <w:rsid w:val="007F2A87"/>
    <w:rsid w:val="007F3DFD"/>
    <w:rsid w:val="007F623D"/>
    <w:rsid w:val="008004E1"/>
    <w:rsid w:val="00802439"/>
    <w:rsid w:val="008029AF"/>
    <w:rsid w:val="008033E2"/>
    <w:rsid w:val="008058B7"/>
    <w:rsid w:val="0081212F"/>
    <w:rsid w:val="008157F0"/>
    <w:rsid w:val="00817430"/>
    <w:rsid w:val="00817E19"/>
    <w:rsid w:val="00821073"/>
    <w:rsid w:val="00822197"/>
    <w:rsid w:val="0082252E"/>
    <w:rsid w:val="00830A5E"/>
    <w:rsid w:val="00830AA4"/>
    <w:rsid w:val="00833653"/>
    <w:rsid w:val="00834E76"/>
    <w:rsid w:val="00835EFD"/>
    <w:rsid w:val="00841041"/>
    <w:rsid w:val="00846BCB"/>
    <w:rsid w:val="008478D0"/>
    <w:rsid w:val="008508FF"/>
    <w:rsid w:val="00850C01"/>
    <w:rsid w:val="00850C14"/>
    <w:rsid w:val="00851E43"/>
    <w:rsid w:val="00852958"/>
    <w:rsid w:val="00853840"/>
    <w:rsid w:val="00853944"/>
    <w:rsid w:val="008557B3"/>
    <w:rsid w:val="0085682C"/>
    <w:rsid w:val="00857F95"/>
    <w:rsid w:val="00860239"/>
    <w:rsid w:val="00861ABB"/>
    <w:rsid w:val="00866B52"/>
    <w:rsid w:val="00867446"/>
    <w:rsid w:val="00867D7D"/>
    <w:rsid w:val="0089077F"/>
    <w:rsid w:val="00890C95"/>
    <w:rsid w:val="00892272"/>
    <w:rsid w:val="00893963"/>
    <w:rsid w:val="00897934"/>
    <w:rsid w:val="008A312B"/>
    <w:rsid w:val="008A39C4"/>
    <w:rsid w:val="008A4753"/>
    <w:rsid w:val="008B0552"/>
    <w:rsid w:val="008B21A7"/>
    <w:rsid w:val="008B6067"/>
    <w:rsid w:val="008B6BA4"/>
    <w:rsid w:val="008C1BAC"/>
    <w:rsid w:val="008C5CE0"/>
    <w:rsid w:val="008C61CA"/>
    <w:rsid w:val="008C68F0"/>
    <w:rsid w:val="008C72C1"/>
    <w:rsid w:val="008D7A6E"/>
    <w:rsid w:val="008D7CE3"/>
    <w:rsid w:val="008E3CC6"/>
    <w:rsid w:val="008E50E0"/>
    <w:rsid w:val="008E76E4"/>
    <w:rsid w:val="008E7E92"/>
    <w:rsid w:val="008F5827"/>
    <w:rsid w:val="008F5AA8"/>
    <w:rsid w:val="008F786C"/>
    <w:rsid w:val="009050FD"/>
    <w:rsid w:val="00913C25"/>
    <w:rsid w:val="00917D74"/>
    <w:rsid w:val="0092000D"/>
    <w:rsid w:val="009223FE"/>
    <w:rsid w:val="00924D4C"/>
    <w:rsid w:val="0092633F"/>
    <w:rsid w:val="00926501"/>
    <w:rsid w:val="0093010D"/>
    <w:rsid w:val="0093533C"/>
    <w:rsid w:val="00935AEA"/>
    <w:rsid w:val="00936C76"/>
    <w:rsid w:val="00942372"/>
    <w:rsid w:val="00947E06"/>
    <w:rsid w:val="00951C7A"/>
    <w:rsid w:val="00955CB4"/>
    <w:rsid w:val="00955FEE"/>
    <w:rsid w:val="009560B4"/>
    <w:rsid w:val="00960BDA"/>
    <w:rsid w:val="00961C6C"/>
    <w:rsid w:val="00964227"/>
    <w:rsid w:val="0096776E"/>
    <w:rsid w:val="009723DD"/>
    <w:rsid w:val="0097373F"/>
    <w:rsid w:val="00973D22"/>
    <w:rsid w:val="00975B21"/>
    <w:rsid w:val="009775B3"/>
    <w:rsid w:val="00985F6A"/>
    <w:rsid w:val="009863EC"/>
    <w:rsid w:val="00990F99"/>
    <w:rsid w:val="00991771"/>
    <w:rsid w:val="00996741"/>
    <w:rsid w:val="009A0E41"/>
    <w:rsid w:val="009A3334"/>
    <w:rsid w:val="009A7492"/>
    <w:rsid w:val="009B36B3"/>
    <w:rsid w:val="009B7428"/>
    <w:rsid w:val="009C2EBB"/>
    <w:rsid w:val="009C6C9E"/>
    <w:rsid w:val="009D41FC"/>
    <w:rsid w:val="009D541E"/>
    <w:rsid w:val="009E3430"/>
    <w:rsid w:val="009E581A"/>
    <w:rsid w:val="009E712C"/>
    <w:rsid w:val="009E77C5"/>
    <w:rsid w:val="009E7BC4"/>
    <w:rsid w:val="009F0176"/>
    <w:rsid w:val="009F1616"/>
    <w:rsid w:val="009F2563"/>
    <w:rsid w:val="00A047EA"/>
    <w:rsid w:val="00A15CA5"/>
    <w:rsid w:val="00A16C75"/>
    <w:rsid w:val="00A2057A"/>
    <w:rsid w:val="00A206A9"/>
    <w:rsid w:val="00A21709"/>
    <w:rsid w:val="00A2368F"/>
    <w:rsid w:val="00A26384"/>
    <w:rsid w:val="00A30C50"/>
    <w:rsid w:val="00A32427"/>
    <w:rsid w:val="00A37F3A"/>
    <w:rsid w:val="00A403F1"/>
    <w:rsid w:val="00A40FE6"/>
    <w:rsid w:val="00A44301"/>
    <w:rsid w:val="00A45873"/>
    <w:rsid w:val="00A56363"/>
    <w:rsid w:val="00A57529"/>
    <w:rsid w:val="00A57FA5"/>
    <w:rsid w:val="00A62F15"/>
    <w:rsid w:val="00A73E5E"/>
    <w:rsid w:val="00A74D90"/>
    <w:rsid w:val="00A802F8"/>
    <w:rsid w:val="00A81C4E"/>
    <w:rsid w:val="00A82CBE"/>
    <w:rsid w:val="00A8684A"/>
    <w:rsid w:val="00A86DC2"/>
    <w:rsid w:val="00A90DBB"/>
    <w:rsid w:val="00A9278C"/>
    <w:rsid w:val="00A95719"/>
    <w:rsid w:val="00A95F53"/>
    <w:rsid w:val="00A964B5"/>
    <w:rsid w:val="00AA0651"/>
    <w:rsid w:val="00AA4C84"/>
    <w:rsid w:val="00AB0F97"/>
    <w:rsid w:val="00AB2700"/>
    <w:rsid w:val="00AB2D84"/>
    <w:rsid w:val="00AB4583"/>
    <w:rsid w:val="00AC10C8"/>
    <w:rsid w:val="00AC493B"/>
    <w:rsid w:val="00AC5127"/>
    <w:rsid w:val="00AC6FB0"/>
    <w:rsid w:val="00AD0348"/>
    <w:rsid w:val="00AD0ABC"/>
    <w:rsid w:val="00AD59D2"/>
    <w:rsid w:val="00AD6106"/>
    <w:rsid w:val="00AD6613"/>
    <w:rsid w:val="00AD71F9"/>
    <w:rsid w:val="00AD76BA"/>
    <w:rsid w:val="00AE2732"/>
    <w:rsid w:val="00AE297A"/>
    <w:rsid w:val="00AE410A"/>
    <w:rsid w:val="00AE5CE1"/>
    <w:rsid w:val="00B00332"/>
    <w:rsid w:val="00B0387E"/>
    <w:rsid w:val="00B0420A"/>
    <w:rsid w:val="00B053C8"/>
    <w:rsid w:val="00B05741"/>
    <w:rsid w:val="00B163E4"/>
    <w:rsid w:val="00B16F77"/>
    <w:rsid w:val="00B21ECE"/>
    <w:rsid w:val="00B23873"/>
    <w:rsid w:val="00B30B68"/>
    <w:rsid w:val="00B33157"/>
    <w:rsid w:val="00B35A3B"/>
    <w:rsid w:val="00B36C8B"/>
    <w:rsid w:val="00B40357"/>
    <w:rsid w:val="00B47C95"/>
    <w:rsid w:val="00B50306"/>
    <w:rsid w:val="00B524F3"/>
    <w:rsid w:val="00B54C80"/>
    <w:rsid w:val="00B553F6"/>
    <w:rsid w:val="00B62E3C"/>
    <w:rsid w:val="00B63250"/>
    <w:rsid w:val="00B6356D"/>
    <w:rsid w:val="00B660A9"/>
    <w:rsid w:val="00B7124F"/>
    <w:rsid w:val="00B7190C"/>
    <w:rsid w:val="00B7528B"/>
    <w:rsid w:val="00B77A15"/>
    <w:rsid w:val="00B8122B"/>
    <w:rsid w:val="00B82A40"/>
    <w:rsid w:val="00B90FA0"/>
    <w:rsid w:val="00B949C8"/>
    <w:rsid w:val="00B96AE3"/>
    <w:rsid w:val="00B96C40"/>
    <w:rsid w:val="00BA390A"/>
    <w:rsid w:val="00BA3A12"/>
    <w:rsid w:val="00BA3AA9"/>
    <w:rsid w:val="00BA48FD"/>
    <w:rsid w:val="00BA4C75"/>
    <w:rsid w:val="00BA7042"/>
    <w:rsid w:val="00BA7A7C"/>
    <w:rsid w:val="00BB1342"/>
    <w:rsid w:val="00BB1B67"/>
    <w:rsid w:val="00BB4376"/>
    <w:rsid w:val="00BB43D4"/>
    <w:rsid w:val="00BC1622"/>
    <w:rsid w:val="00BC220A"/>
    <w:rsid w:val="00BC2636"/>
    <w:rsid w:val="00BC51F2"/>
    <w:rsid w:val="00BC60A7"/>
    <w:rsid w:val="00BD01DF"/>
    <w:rsid w:val="00BD0F1B"/>
    <w:rsid w:val="00BD161B"/>
    <w:rsid w:val="00BD2FC4"/>
    <w:rsid w:val="00BD424C"/>
    <w:rsid w:val="00BD7C64"/>
    <w:rsid w:val="00BE5F49"/>
    <w:rsid w:val="00BE6CF3"/>
    <w:rsid w:val="00BF28DB"/>
    <w:rsid w:val="00BF56DD"/>
    <w:rsid w:val="00BF6644"/>
    <w:rsid w:val="00C00FBF"/>
    <w:rsid w:val="00C02DE1"/>
    <w:rsid w:val="00C04095"/>
    <w:rsid w:val="00C04A90"/>
    <w:rsid w:val="00C1046D"/>
    <w:rsid w:val="00C12120"/>
    <w:rsid w:val="00C20B98"/>
    <w:rsid w:val="00C212F9"/>
    <w:rsid w:val="00C2413C"/>
    <w:rsid w:val="00C258A8"/>
    <w:rsid w:val="00C25B45"/>
    <w:rsid w:val="00C301F9"/>
    <w:rsid w:val="00C353B9"/>
    <w:rsid w:val="00C431A0"/>
    <w:rsid w:val="00C51005"/>
    <w:rsid w:val="00C5317B"/>
    <w:rsid w:val="00C57332"/>
    <w:rsid w:val="00C607A6"/>
    <w:rsid w:val="00C61129"/>
    <w:rsid w:val="00C65E4C"/>
    <w:rsid w:val="00C66563"/>
    <w:rsid w:val="00C66EE4"/>
    <w:rsid w:val="00C6775D"/>
    <w:rsid w:val="00C72814"/>
    <w:rsid w:val="00C81840"/>
    <w:rsid w:val="00C846CA"/>
    <w:rsid w:val="00C85769"/>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B4DC9"/>
    <w:rsid w:val="00CC03B8"/>
    <w:rsid w:val="00CC37EB"/>
    <w:rsid w:val="00CD2DFB"/>
    <w:rsid w:val="00CD58C7"/>
    <w:rsid w:val="00CD6818"/>
    <w:rsid w:val="00CD6FD9"/>
    <w:rsid w:val="00CD7D7B"/>
    <w:rsid w:val="00CE2077"/>
    <w:rsid w:val="00CE3B38"/>
    <w:rsid w:val="00CE6DBC"/>
    <w:rsid w:val="00CF28AA"/>
    <w:rsid w:val="00CF2C3E"/>
    <w:rsid w:val="00CF5793"/>
    <w:rsid w:val="00D017EE"/>
    <w:rsid w:val="00D0475D"/>
    <w:rsid w:val="00D15CC4"/>
    <w:rsid w:val="00D21B44"/>
    <w:rsid w:val="00D22926"/>
    <w:rsid w:val="00D25010"/>
    <w:rsid w:val="00D26B9D"/>
    <w:rsid w:val="00D33D93"/>
    <w:rsid w:val="00D358CF"/>
    <w:rsid w:val="00D371D7"/>
    <w:rsid w:val="00D41123"/>
    <w:rsid w:val="00D421D9"/>
    <w:rsid w:val="00D42C5F"/>
    <w:rsid w:val="00D47EEF"/>
    <w:rsid w:val="00D50879"/>
    <w:rsid w:val="00D53C0A"/>
    <w:rsid w:val="00D564A3"/>
    <w:rsid w:val="00D571ED"/>
    <w:rsid w:val="00D61C91"/>
    <w:rsid w:val="00D67A67"/>
    <w:rsid w:val="00D70175"/>
    <w:rsid w:val="00D72BE4"/>
    <w:rsid w:val="00D75B2B"/>
    <w:rsid w:val="00D76A51"/>
    <w:rsid w:val="00D80AB6"/>
    <w:rsid w:val="00D815B6"/>
    <w:rsid w:val="00D835BF"/>
    <w:rsid w:val="00D83F79"/>
    <w:rsid w:val="00D863FF"/>
    <w:rsid w:val="00D875CE"/>
    <w:rsid w:val="00D92BD8"/>
    <w:rsid w:val="00D95150"/>
    <w:rsid w:val="00DA1B90"/>
    <w:rsid w:val="00DA211A"/>
    <w:rsid w:val="00DA282F"/>
    <w:rsid w:val="00DA4112"/>
    <w:rsid w:val="00DA506E"/>
    <w:rsid w:val="00DA600C"/>
    <w:rsid w:val="00DC1EA9"/>
    <w:rsid w:val="00DC3745"/>
    <w:rsid w:val="00DD7A7D"/>
    <w:rsid w:val="00DD7A93"/>
    <w:rsid w:val="00DE48F5"/>
    <w:rsid w:val="00DE59D2"/>
    <w:rsid w:val="00DF7041"/>
    <w:rsid w:val="00E008B1"/>
    <w:rsid w:val="00E01186"/>
    <w:rsid w:val="00E04D85"/>
    <w:rsid w:val="00E05E6E"/>
    <w:rsid w:val="00E074EC"/>
    <w:rsid w:val="00E1368C"/>
    <w:rsid w:val="00E14603"/>
    <w:rsid w:val="00E217EC"/>
    <w:rsid w:val="00E21F1F"/>
    <w:rsid w:val="00E21F9E"/>
    <w:rsid w:val="00E243BE"/>
    <w:rsid w:val="00E3110C"/>
    <w:rsid w:val="00E31DB6"/>
    <w:rsid w:val="00E322BA"/>
    <w:rsid w:val="00E3283F"/>
    <w:rsid w:val="00E36DC8"/>
    <w:rsid w:val="00E43BEE"/>
    <w:rsid w:val="00E4436F"/>
    <w:rsid w:val="00E44A98"/>
    <w:rsid w:val="00E47E89"/>
    <w:rsid w:val="00E50188"/>
    <w:rsid w:val="00E54F69"/>
    <w:rsid w:val="00E60D83"/>
    <w:rsid w:val="00E6238B"/>
    <w:rsid w:val="00E639D7"/>
    <w:rsid w:val="00E65E63"/>
    <w:rsid w:val="00E77059"/>
    <w:rsid w:val="00E802BC"/>
    <w:rsid w:val="00E91EB7"/>
    <w:rsid w:val="00E92E25"/>
    <w:rsid w:val="00EA2D0F"/>
    <w:rsid w:val="00EB0AAC"/>
    <w:rsid w:val="00EB2422"/>
    <w:rsid w:val="00EB32CB"/>
    <w:rsid w:val="00EB4EFB"/>
    <w:rsid w:val="00EB7E6C"/>
    <w:rsid w:val="00EC145E"/>
    <w:rsid w:val="00EC1FBB"/>
    <w:rsid w:val="00EC2B91"/>
    <w:rsid w:val="00EC57F2"/>
    <w:rsid w:val="00EC5CAD"/>
    <w:rsid w:val="00EC70E8"/>
    <w:rsid w:val="00ED4A41"/>
    <w:rsid w:val="00EE0B80"/>
    <w:rsid w:val="00EE49E8"/>
    <w:rsid w:val="00EE61BB"/>
    <w:rsid w:val="00EF0E26"/>
    <w:rsid w:val="00EF316F"/>
    <w:rsid w:val="00F052F4"/>
    <w:rsid w:val="00F06FF4"/>
    <w:rsid w:val="00F070DF"/>
    <w:rsid w:val="00F2645F"/>
    <w:rsid w:val="00F34ED8"/>
    <w:rsid w:val="00F35772"/>
    <w:rsid w:val="00F35D74"/>
    <w:rsid w:val="00F35F34"/>
    <w:rsid w:val="00F40994"/>
    <w:rsid w:val="00F44DF5"/>
    <w:rsid w:val="00F50D98"/>
    <w:rsid w:val="00F513D3"/>
    <w:rsid w:val="00F5314F"/>
    <w:rsid w:val="00F544F7"/>
    <w:rsid w:val="00F60BD8"/>
    <w:rsid w:val="00F621CE"/>
    <w:rsid w:val="00F652E8"/>
    <w:rsid w:val="00F7272C"/>
    <w:rsid w:val="00F73215"/>
    <w:rsid w:val="00F83013"/>
    <w:rsid w:val="00F84298"/>
    <w:rsid w:val="00F8514C"/>
    <w:rsid w:val="00F9418A"/>
    <w:rsid w:val="00F94C4A"/>
    <w:rsid w:val="00F94CD7"/>
    <w:rsid w:val="00F97AD8"/>
    <w:rsid w:val="00F97B97"/>
    <w:rsid w:val="00FA61EC"/>
    <w:rsid w:val="00FB3AF4"/>
    <w:rsid w:val="00FB5BFB"/>
    <w:rsid w:val="00FC1CD8"/>
    <w:rsid w:val="00FC387C"/>
    <w:rsid w:val="00FC594F"/>
    <w:rsid w:val="00FD00F0"/>
    <w:rsid w:val="00FD216D"/>
    <w:rsid w:val="00FD23B4"/>
    <w:rsid w:val="00FD30D9"/>
    <w:rsid w:val="00FD5B17"/>
    <w:rsid w:val="00FF0545"/>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table" w:styleId="TabloKlavuzu">
    <w:name w:val="Table Grid"/>
    <w:basedOn w:val="NormalTablo"/>
    <w:uiPriority w:val="59"/>
    <w:rsid w:val="001D7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5803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table" w:styleId="TabloKlavuzu">
    <w:name w:val="Table Grid"/>
    <w:basedOn w:val="NormalTablo"/>
    <w:uiPriority w:val="59"/>
    <w:rsid w:val="001D7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580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9090">
      <w:bodyDiv w:val="1"/>
      <w:marLeft w:val="0"/>
      <w:marRight w:val="0"/>
      <w:marTop w:val="0"/>
      <w:marBottom w:val="0"/>
      <w:divBdr>
        <w:top w:val="none" w:sz="0" w:space="0" w:color="auto"/>
        <w:left w:val="none" w:sz="0" w:space="0" w:color="auto"/>
        <w:bottom w:val="none" w:sz="0" w:space="0" w:color="auto"/>
        <w:right w:val="none" w:sz="0" w:space="0" w:color="auto"/>
      </w:divBdr>
    </w:div>
    <w:div w:id="1842429214">
      <w:bodyDiv w:val="1"/>
      <w:marLeft w:val="0"/>
      <w:marRight w:val="0"/>
      <w:marTop w:val="0"/>
      <w:marBottom w:val="0"/>
      <w:divBdr>
        <w:top w:val="none" w:sz="0" w:space="0" w:color="auto"/>
        <w:left w:val="none" w:sz="0" w:space="0" w:color="auto"/>
        <w:bottom w:val="none" w:sz="0" w:space="0" w:color="auto"/>
        <w:right w:val="none" w:sz="0" w:space="0" w:color="auto"/>
      </w:divBdr>
    </w:div>
    <w:div w:id="205850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turkiye.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http://www.turkiye.gov.tr" TargetMode="External"/><Relationship Id="rId14" Type="http://schemas.openxmlformats.org/officeDocument/2006/relationships/image" Target="media/image3.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mailto:tk32514@tkgm.gov.tr" TargetMode="External"/><Relationship Id="rId2" Type="http://schemas.openxmlformats.org/officeDocument/2006/relationships/hyperlink" Target="mailto:hkucuk@tkgm.gov.tr" TargetMode="External"/><Relationship Id="rId1" Type="http://schemas.openxmlformats.org/officeDocument/2006/relationships/hyperlink" Target="mailto:bkeser@tkgm.gov.t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Tapu</c:v>
                </c:pt>
              </c:strCache>
            </c:strRef>
          </c:tx>
          <c:invertIfNegative val="0"/>
          <c:dLbls>
            <c:dLbl>
              <c:idx val="0"/>
              <c:layout>
                <c:manualLayout>
                  <c:x val="-2.9153096855170412E-3"/>
                  <c:y val="-5.2475956095392177E-2"/>
                </c:manualLayout>
              </c:layout>
              <c:tx>
                <c:rich>
                  <a:bodyPr/>
                  <a:lstStyle/>
                  <a:p>
                    <a:r>
                      <a:rPr lang="en-US" sz="1000" dirty="0" smtClean="0">
                        <a:solidFill>
                          <a:schemeClr val="accent1">
                            <a:lumMod val="75000"/>
                          </a:schemeClr>
                        </a:solidFill>
                      </a:rPr>
                      <a:t>136</a:t>
                    </a:r>
                    <a:r>
                      <a:rPr lang="tr-TR" sz="1000" dirty="0" smtClean="0">
                        <a:solidFill>
                          <a:schemeClr val="accent1">
                            <a:lumMod val="75000"/>
                          </a:schemeClr>
                        </a:solidFill>
                      </a:rPr>
                      <a:t>,</a:t>
                    </a:r>
                    <a:r>
                      <a:rPr lang="en-US" sz="1000" dirty="0" smtClean="0">
                        <a:solidFill>
                          <a:schemeClr val="accent1">
                            <a:lumMod val="75000"/>
                          </a:schemeClr>
                        </a:solidFill>
                      </a:rPr>
                      <a:t>169</a:t>
                    </a:r>
                    <a:endParaRPr lang="en-US" dirty="0"/>
                  </a:p>
                </c:rich>
              </c:tx>
              <c:showLegendKey val="0"/>
              <c:showVal val="1"/>
              <c:showCatName val="0"/>
              <c:showSerName val="0"/>
              <c:showPercent val="0"/>
              <c:showBubbleSize val="0"/>
            </c:dLbl>
            <c:dLbl>
              <c:idx val="1"/>
              <c:layout>
                <c:manualLayout>
                  <c:x val="-9.0371042335975704E-2"/>
                  <c:y val="4.9852158290622589E-2"/>
                </c:manualLayout>
              </c:layout>
              <c:tx>
                <c:rich>
                  <a:bodyPr/>
                  <a:lstStyle/>
                  <a:p>
                    <a:r>
                      <a:rPr lang="en-US" sz="1000" dirty="0" smtClean="0">
                        <a:solidFill>
                          <a:schemeClr val="accent1">
                            <a:lumMod val="75000"/>
                          </a:schemeClr>
                        </a:solidFill>
                      </a:rPr>
                      <a:t>20</a:t>
                    </a:r>
                    <a:r>
                      <a:rPr lang="tr-TR" sz="1000" dirty="0" smtClean="0">
                        <a:solidFill>
                          <a:schemeClr val="accent1">
                            <a:lumMod val="75000"/>
                          </a:schemeClr>
                        </a:solidFill>
                      </a:rPr>
                      <a:t>,</a:t>
                    </a:r>
                    <a:r>
                      <a:rPr lang="en-US" sz="1000" dirty="0" smtClean="0">
                        <a:solidFill>
                          <a:schemeClr val="accent1">
                            <a:lumMod val="75000"/>
                          </a:schemeClr>
                        </a:solidFill>
                      </a:rPr>
                      <a:t>339</a:t>
                    </a:r>
                    <a:r>
                      <a:rPr lang="tr-TR" sz="1000" dirty="0" smtClean="0">
                        <a:solidFill>
                          <a:schemeClr val="accent1">
                            <a:lumMod val="75000"/>
                          </a:schemeClr>
                        </a:solidFill>
                      </a:rPr>
                      <a:t>,</a:t>
                    </a:r>
                    <a:r>
                      <a:rPr lang="en-US" sz="1000" dirty="0" smtClean="0">
                        <a:solidFill>
                          <a:schemeClr val="accent1">
                            <a:lumMod val="75000"/>
                          </a:schemeClr>
                        </a:solidFill>
                      </a:rPr>
                      <a:t>678</a:t>
                    </a:r>
                    <a:endParaRPr lang="en-US" dirty="0"/>
                  </a:p>
                </c:rich>
              </c:tx>
              <c:showLegendKey val="0"/>
              <c:showVal val="1"/>
              <c:showCatName val="0"/>
              <c:showSerName val="0"/>
              <c:showPercent val="0"/>
              <c:showBubbleSize val="0"/>
            </c:dLbl>
            <c:dLbl>
              <c:idx val="2"/>
              <c:layout>
                <c:manualLayout>
                  <c:x val="1.457585979886542E-2"/>
                  <c:y val="-5.2475956095392177E-2"/>
                </c:manualLayout>
              </c:layout>
              <c:tx>
                <c:rich>
                  <a:bodyPr/>
                  <a:lstStyle/>
                  <a:p>
                    <a:r>
                      <a:rPr lang="en-US" sz="1000" dirty="0" smtClean="0">
                        <a:solidFill>
                          <a:schemeClr val="accent1">
                            <a:lumMod val="75000"/>
                          </a:schemeClr>
                        </a:solidFill>
                      </a:rPr>
                      <a:t>5</a:t>
                    </a:r>
                    <a:r>
                      <a:rPr lang="tr-TR" sz="1000" dirty="0" smtClean="0">
                        <a:solidFill>
                          <a:schemeClr val="accent1">
                            <a:lumMod val="75000"/>
                          </a:schemeClr>
                        </a:solidFill>
                      </a:rPr>
                      <a:t>,</a:t>
                    </a:r>
                    <a:r>
                      <a:rPr lang="en-US" sz="1000" dirty="0" smtClean="0">
                        <a:solidFill>
                          <a:schemeClr val="accent1">
                            <a:lumMod val="75000"/>
                          </a:schemeClr>
                        </a:solidFill>
                      </a:rPr>
                      <a:t>089</a:t>
                    </a:r>
                    <a:r>
                      <a:rPr lang="tr-TR" sz="1000" dirty="0" smtClean="0">
                        <a:solidFill>
                          <a:schemeClr val="accent1">
                            <a:lumMod val="75000"/>
                          </a:schemeClr>
                        </a:solidFill>
                      </a:rPr>
                      <a:t>,</a:t>
                    </a:r>
                    <a:r>
                      <a:rPr lang="en-US" sz="1000" dirty="0" smtClean="0">
                        <a:solidFill>
                          <a:schemeClr val="accent1">
                            <a:lumMod val="75000"/>
                          </a:schemeClr>
                        </a:solidFill>
                      </a:rPr>
                      <a:t>230</a:t>
                    </a:r>
                    <a:endParaRPr lang="en-US" dirty="0"/>
                  </a:p>
                </c:rich>
              </c:tx>
              <c:showLegendKey val="0"/>
              <c:showVal val="1"/>
              <c:showCatName val="0"/>
              <c:showSerName val="0"/>
              <c:showPercent val="0"/>
              <c:showBubbleSize val="0"/>
            </c:dLbl>
            <c:dLbl>
              <c:idx val="3"/>
              <c:layout>
                <c:manualLayout>
                  <c:x val="-6.5591885566433861E-2"/>
                  <c:y val="7.8713934143088918E-3"/>
                </c:manualLayout>
              </c:layout>
              <c:tx>
                <c:rich>
                  <a:bodyPr/>
                  <a:lstStyle/>
                  <a:p>
                    <a:r>
                      <a:rPr lang="en-US" sz="1000" dirty="0" smtClean="0">
                        <a:solidFill>
                          <a:schemeClr val="accent1">
                            <a:lumMod val="75000"/>
                          </a:schemeClr>
                        </a:solidFill>
                      </a:rPr>
                      <a:t>9</a:t>
                    </a:r>
                    <a:r>
                      <a:rPr lang="tr-TR" sz="1000" dirty="0" smtClean="0">
                        <a:solidFill>
                          <a:schemeClr val="accent1">
                            <a:lumMod val="75000"/>
                          </a:schemeClr>
                        </a:solidFill>
                      </a:rPr>
                      <a:t>,</a:t>
                    </a:r>
                    <a:r>
                      <a:rPr lang="en-US" sz="1000" dirty="0" smtClean="0">
                        <a:solidFill>
                          <a:schemeClr val="accent1">
                            <a:lumMod val="75000"/>
                          </a:schemeClr>
                        </a:solidFill>
                      </a:rPr>
                      <a:t>176</a:t>
                    </a:r>
                    <a:r>
                      <a:rPr lang="tr-TR" sz="1000" dirty="0" smtClean="0">
                        <a:solidFill>
                          <a:schemeClr val="accent1">
                            <a:lumMod val="75000"/>
                          </a:schemeClr>
                        </a:solidFill>
                      </a:rPr>
                      <a:t>,</a:t>
                    </a:r>
                    <a:r>
                      <a:rPr lang="en-US" sz="1000" dirty="0" smtClean="0">
                        <a:solidFill>
                          <a:schemeClr val="accent1">
                            <a:lumMod val="75000"/>
                          </a:schemeClr>
                        </a:solidFill>
                      </a:rPr>
                      <a:t>960</a:t>
                    </a:r>
                    <a:endParaRPr lang="en-US" dirty="0"/>
                  </a:p>
                </c:rich>
              </c:tx>
              <c:showLegendKey val="0"/>
              <c:showVal val="1"/>
              <c:showCatName val="0"/>
              <c:showSerName val="0"/>
              <c:showPercent val="0"/>
              <c:showBubbleSize val="0"/>
            </c:dLbl>
            <c:txPr>
              <a:bodyPr/>
              <a:lstStyle/>
              <a:p>
                <a:pPr>
                  <a:defRPr sz="1000">
                    <a:solidFill>
                      <a:schemeClr val="accent1">
                        <a:lumMod val="75000"/>
                      </a:schemeClr>
                    </a:solidFill>
                  </a:defRPr>
                </a:pPr>
                <a:endParaRPr lang="tr-TR"/>
              </a:p>
            </c:txPr>
            <c:showLegendKey val="0"/>
            <c:showVal val="1"/>
            <c:showCatName val="0"/>
            <c:showSerName val="0"/>
            <c:showPercent val="0"/>
            <c:showBubbleSize val="0"/>
            <c:showLeaderLines val="0"/>
          </c:dLbls>
          <c:cat>
            <c:strRef>
              <c:f>Sayfa1!$A$2:$A$4</c:f>
              <c:strCache>
                <c:ptCount val="3"/>
                <c:pt idx="0">
                  <c:v>2002-2005</c:v>
                </c:pt>
                <c:pt idx="1">
                  <c:v>2005-2008</c:v>
                </c:pt>
                <c:pt idx="2">
                  <c:v>2008-2009</c:v>
                </c:pt>
              </c:strCache>
            </c:strRef>
          </c:cat>
          <c:val>
            <c:numRef>
              <c:f>Sayfa1!$B$2:$B$4</c:f>
              <c:numCache>
                <c:formatCode>#,##0</c:formatCode>
                <c:ptCount val="3"/>
                <c:pt idx="0">
                  <c:v>136169</c:v>
                </c:pt>
                <c:pt idx="1">
                  <c:v>20339678</c:v>
                </c:pt>
                <c:pt idx="2">
                  <c:v>5089230</c:v>
                </c:pt>
              </c:numCache>
            </c:numRef>
          </c:val>
        </c:ser>
        <c:ser>
          <c:idx val="1"/>
          <c:order val="1"/>
          <c:tx>
            <c:strRef>
              <c:f>Sayfa1!$C$1</c:f>
              <c:strCache>
                <c:ptCount val="1"/>
                <c:pt idx="0">
                  <c:v>Kadastro</c:v>
                </c:pt>
              </c:strCache>
            </c:strRef>
          </c:tx>
          <c:invertIfNegative val="0"/>
          <c:dLbls>
            <c:dLbl>
              <c:idx val="0"/>
              <c:layout>
                <c:manualLayout>
                  <c:x val="3.4982338968764827E-2"/>
                  <c:y val="-5.2475956095392177E-2"/>
                </c:manualLayout>
              </c:layout>
              <c:tx>
                <c:rich>
                  <a:bodyPr/>
                  <a:lstStyle/>
                  <a:p>
                    <a:r>
                      <a:rPr lang="en-US" sz="1000" dirty="0" smtClean="0"/>
                      <a:t>136</a:t>
                    </a:r>
                    <a:r>
                      <a:rPr lang="tr-TR" sz="1000" dirty="0" smtClean="0"/>
                      <a:t>,</a:t>
                    </a:r>
                    <a:r>
                      <a:rPr lang="en-US" sz="1000" dirty="0" smtClean="0"/>
                      <a:t>169</a:t>
                    </a:r>
                    <a:endParaRPr lang="en-US" dirty="0"/>
                  </a:p>
                </c:rich>
              </c:tx>
              <c:showLegendKey val="0"/>
              <c:showVal val="1"/>
              <c:showCatName val="0"/>
              <c:showSerName val="0"/>
              <c:showPercent val="0"/>
              <c:showBubbleSize val="0"/>
            </c:dLbl>
            <c:dLbl>
              <c:idx val="1"/>
              <c:layout>
                <c:manualLayout>
                  <c:x val="3.9355131339860315E-2"/>
                  <c:y val="-3.1485573657235456E-2"/>
                </c:manualLayout>
              </c:layout>
              <c:tx>
                <c:rich>
                  <a:bodyPr/>
                  <a:lstStyle/>
                  <a:p>
                    <a:r>
                      <a:rPr lang="en-US" sz="1000" dirty="0" smtClean="0"/>
                      <a:t>3</a:t>
                    </a:r>
                    <a:r>
                      <a:rPr lang="tr-TR" sz="1000" dirty="0" smtClean="0"/>
                      <a:t>,</a:t>
                    </a:r>
                    <a:r>
                      <a:rPr lang="en-US" sz="1000" dirty="0" smtClean="0"/>
                      <a:t>313</a:t>
                    </a:r>
                    <a:r>
                      <a:rPr lang="tr-TR" sz="1000" dirty="0" smtClean="0"/>
                      <a:t>,</a:t>
                    </a:r>
                    <a:r>
                      <a:rPr lang="en-US" sz="1000" dirty="0" smtClean="0"/>
                      <a:t>831</a:t>
                    </a:r>
                    <a:endParaRPr lang="en-US" dirty="0"/>
                  </a:p>
                </c:rich>
              </c:tx>
              <c:showLegendKey val="0"/>
              <c:showVal val="1"/>
              <c:showCatName val="0"/>
              <c:showSerName val="0"/>
              <c:showPercent val="0"/>
              <c:showBubbleSize val="0"/>
            </c:dLbl>
            <c:dLbl>
              <c:idx val="2"/>
              <c:layout>
                <c:manualLayout>
                  <c:x val="2.9151949140637266E-2"/>
                  <c:y val="-5.7723551704931805E-2"/>
                </c:manualLayout>
              </c:layout>
              <c:showLegendKey val="0"/>
              <c:showVal val="1"/>
              <c:showCatName val="0"/>
              <c:showSerName val="0"/>
              <c:showPercent val="0"/>
              <c:showBubbleSize val="0"/>
            </c:dLbl>
            <c:dLbl>
              <c:idx val="3"/>
              <c:layout>
                <c:manualLayout>
                  <c:x val="8.745584742191179E-3"/>
                  <c:y val="-3.1485573657235456E-2"/>
                </c:manualLayout>
              </c:layout>
              <c:tx>
                <c:rich>
                  <a:bodyPr/>
                  <a:lstStyle/>
                  <a:p>
                    <a:r>
                      <a:rPr lang="en-US" sz="1000" dirty="0" smtClean="0"/>
                      <a:t>27</a:t>
                    </a:r>
                    <a:r>
                      <a:rPr lang="tr-TR" sz="1000" dirty="0" smtClean="0"/>
                      <a:t>,</a:t>
                    </a:r>
                    <a:r>
                      <a:rPr lang="en-US" sz="1000" dirty="0" smtClean="0"/>
                      <a:t>817</a:t>
                    </a:r>
                    <a:r>
                      <a:rPr lang="tr-TR" sz="1000" dirty="0" smtClean="0"/>
                      <a:t>,</a:t>
                    </a:r>
                    <a:r>
                      <a:rPr lang="en-US" sz="1000" dirty="0" smtClean="0"/>
                      <a:t>987</a:t>
                    </a:r>
                    <a:endParaRPr lang="en-US" dirty="0"/>
                  </a:p>
                </c:rich>
              </c:tx>
              <c:showLegendKey val="0"/>
              <c:showVal val="1"/>
              <c:showCatName val="0"/>
              <c:showSerName val="0"/>
              <c:showPercent val="0"/>
              <c:showBubbleSize val="0"/>
            </c:dLbl>
            <c:txPr>
              <a:bodyPr/>
              <a:lstStyle/>
              <a:p>
                <a:pPr>
                  <a:defRPr sz="1000">
                    <a:solidFill>
                      <a:schemeClr val="accent2">
                        <a:lumMod val="50000"/>
                      </a:schemeClr>
                    </a:solidFill>
                  </a:defRPr>
                </a:pPr>
                <a:endParaRPr lang="tr-TR"/>
              </a:p>
            </c:txPr>
            <c:showLegendKey val="0"/>
            <c:showVal val="1"/>
            <c:showCatName val="0"/>
            <c:showSerName val="0"/>
            <c:showPercent val="0"/>
            <c:showBubbleSize val="0"/>
            <c:showLeaderLines val="0"/>
          </c:dLbls>
          <c:cat>
            <c:strRef>
              <c:f>Sayfa1!$A$2:$A$4</c:f>
              <c:strCache>
                <c:ptCount val="3"/>
                <c:pt idx="0">
                  <c:v>2002-2005</c:v>
                </c:pt>
                <c:pt idx="1">
                  <c:v>2005-2008</c:v>
                </c:pt>
                <c:pt idx="2">
                  <c:v>2008-2009</c:v>
                </c:pt>
              </c:strCache>
            </c:strRef>
          </c:cat>
          <c:val>
            <c:numRef>
              <c:f>Sayfa1!$C$2:$C$4</c:f>
              <c:numCache>
                <c:formatCode>#,##0</c:formatCode>
                <c:ptCount val="3"/>
                <c:pt idx="0">
                  <c:v>136169</c:v>
                </c:pt>
                <c:pt idx="1">
                  <c:v>3313831</c:v>
                </c:pt>
                <c:pt idx="2">
                  <c:v>0</c:v>
                </c:pt>
              </c:numCache>
            </c:numRef>
          </c:val>
        </c:ser>
        <c:dLbls>
          <c:showLegendKey val="0"/>
          <c:showVal val="0"/>
          <c:showCatName val="0"/>
          <c:showSerName val="0"/>
          <c:showPercent val="0"/>
          <c:showBubbleSize val="0"/>
        </c:dLbls>
        <c:gapWidth val="150"/>
        <c:shape val="cylinder"/>
        <c:axId val="87635456"/>
        <c:axId val="87636992"/>
        <c:axId val="0"/>
      </c:bar3DChart>
      <c:catAx>
        <c:axId val="87635456"/>
        <c:scaling>
          <c:orientation val="minMax"/>
        </c:scaling>
        <c:delete val="0"/>
        <c:axPos val="b"/>
        <c:majorTickMark val="out"/>
        <c:minorTickMark val="none"/>
        <c:tickLblPos val="nextTo"/>
        <c:txPr>
          <a:bodyPr/>
          <a:lstStyle/>
          <a:p>
            <a:pPr>
              <a:defRPr sz="1050">
                <a:solidFill>
                  <a:schemeClr val="tx2">
                    <a:lumMod val="75000"/>
                  </a:schemeClr>
                </a:solidFill>
              </a:defRPr>
            </a:pPr>
            <a:endParaRPr lang="tr-TR"/>
          </a:p>
        </c:txPr>
        <c:crossAx val="87636992"/>
        <c:crosses val="autoZero"/>
        <c:auto val="1"/>
        <c:lblAlgn val="ctr"/>
        <c:lblOffset val="100"/>
        <c:noMultiLvlLbl val="0"/>
      </c:catAx>
      <c:valAx>
        <c:axId val="87636992"/>
        <c:scaling>
          <c:orientation val="minMax"/>
        </c:scaling>
        <c:delete val="1"/>
        <c:axPos val="l"/>
        <c:majorGridlines>
          <c:spPr>
            <a:ln>
              <a:solidFill>
                <a:schemeClr val="bg1">
                  <a:lumMod val="85000"/>
                </a:schemeClr>
              </a:solidFill>
            </a:ln>
          </c:spPr>
        </c:majorGridlines>
        <c:numFmt formatCode="#,##0" sourceLinked="1"/>
        <c:majorTickMark val="out"/>
        <c:minorTickMark val="none"/>
        <c:tickLblPos val="none"/>
        <c:crossAx val="87635456"/>
        <c:crosses val="autoZero"/>
        <c:crossBetween val="between"/>
      </c:valAx>
    </c:plotArea>
    <c:legend>
      <c:legendPos val="r"/>
      <c:legendEntry>
        <c:idx val="0"/>
        <c:txPr>
          <a:bodyPr/>
          <a:lstStyle/>
          <a:p>
            <a:pPr>
              <a:defRPr sz="1000">
                <a:solidFill>
                  <a:schemeClr val="accent1">
                    <a:lumMod val="50000"/>
                  </a:schemeClr>
                </a:solidFill>
              </a:defRPr>
            </a:pPr>
            <a:endParaRPr lang="tr-TR"/>
          </a:p>
        </c:txPr>
      </c:legendEntry>
      <c:legendEntry>
        <c:idx val="1"/>
        <c:txPr>
          <a:bodyPr/>
          <a:lstStyle/>
          <a:p>
            <a:pPr>
              <a:defRPr sz="1000">
                <a:solidFill>
                  <a:schemeClr val="accent2">
                    <a:lumMod val="50000"/>
                  </a:schemeClr>
                </a:solidFill>
              </a:defRPr>
            </a:pPr>
            <a:endParaRPr lang="tr-TR"/>
          </a:p>
        </c:txPr>
      </c:legendEntry>
      <c:layout/>
      <c:overlay val="0"/>
      <c:txPr>
        <a:bodyPr/>
        <a:lstStyle/>
        <a:p>
          <a:pPr>
            <a:defRPr sz="1000"/>
          </a:pPr>
          <a:endParaRPr lang="tr-TR"/>
        </a:p>
      </c:txPr>
    </c:legend>
    <c:plotVisOnly val="1"/>
    <c:dispBlanksAs val="gap"/>
    <c:showDLblsOverMax val="0"/>
  </c:chart>
  <c:txPr>
    <a:bodyPr/>
    <a:lstStyle/>
    <a:p>
      <a:pPr>
        <a:defRPr sz="18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730614472788603E-2"/>
          <c:y val="8.2372498517379225E-2"/>
          <c:w val="0.71095192321626099"/>
          <c:h val="0.82035055572854976"/>
        </c:manualLayout>
      </c:layout>
      <c:pie3DChart>
        <c:varyColors val="1"/>
        <c:ser>
          <c:idx val="0"/>
          <c:order val="0"/>
          <c:tx>
            <c:strRef>
              <c:f>Sayfa1!$B$1</c:f>
              <c:strCache>
                <c:ptCount val="1"/>
                <c:pt idx="0">
                  <c:v>Kadastro</c:v>
                </c:pt>
              </c:strCache>
            </c:strRef>
          </c:tx>
          <c:explosion val="25"/>
          <c:dPt>
            <c:idx val="1"/>
            <c:bubble3D val="0"/>
            <c:explosion val="50"/>
          </c:dPt>
          <c:dLbls>
            <c:dLbl>
              <c:idx val="0"/>
              <c:layout>
                <c:manualLayout>
                  <c:x val="3.8643375319711765E-2"/>
                  <c:y val="8.6557865387933992E-3"/>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F0AD00">
                            <a:lumMod val="50000"/>
                          </a:srgbClr>
                        </a:solidFill>
                        <a:latin typeface="+mn-lt"/>
                        <a:ea typeface="+mn-ea"/>
                        <a:cs typeface="+mn-cs"/>
                      </a:defRPr>
                    </a:pPr>
                    <a:r>
                      <a:rPr lang="tr-TR" sz="1050" b="1" dirty="0" smtClean="0">
                        <a:solidFill>
                          <a:schemeClr val="accent1">
                            <a:lumMod val="75000"/>
                          </a:schemeClr>
                        </a:solidFill>
                      </a:rPr>
                      <a:t>% 24</a:t>
                    </a:r>
                  </a:p>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F0AD00">
                            <a:lumMod val="50000"/>
                          </a:srgbClr>
                        </a:solidFill>
                        <a:latin typeface="+mn-lt"/>
                        <a:ea typeface="+mn-ea"/>
                        <a:cs typeface="+mn-cs"/>
                      </a:defRPr>
                    </a:pPr>
                    <a:r>
                      <a:rPr lang="tr-TR" sz="1050" b="0" i="0" baseline="0" dirty="0" smtClean="0">
                        <a:solidFill>
                          <a:schemeClr val="accent1">
                            <a:lumMod val="75000"/>
                          </a:schemeClr>
                        </a:solidFill>
                        <a:effectLst/>
                      </a:rPr>
                      <a:t>13 milyon</a:t>
                    </a:r>
                    <a:endParaRPr lang="tr-TR" sz="1800" dirty="0" smtClean="0">
                      <a:solidFill>
                        <a:schemeClr val="accent1">
                          <a:lumMod val="75000"/>
                        </a:schemeClr>
                      </a:solidFill>
                      <a:effectLst/>
                    </a:endParaRPr>
                  </a:p>
                </c:rich>
              </c:tx>
              <c:spPr/>
              <c:showLegendKey val="0"/>
              <c:showVal val="1"/>
              <c:showCatName val="0"/>
              <c:showSerName val="0"/>
              <c:showPercent val="0"/>
              <c:showBubbleSize val="0"/>
            </c:dLbl>
            <c:dLbl>
              <c:idx val="1"/>
              <c:layout>
                <c:manualLayout>
                  <c:x val="0.25308719185221473"/>
                  <c:y val="-8.5677283419157382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60B5CC">
                            <a:lumMod val="50000"/>
                          </a:srgbClr>
                        </a:solidFill>
                        <a:latin typeface="+mn-lt"/>
                        <a:ea typeface="+mn-ea"/>
                        <a:cs typeface="+mn-cs"/>
                      </a:defRPr>
                    </a:pPr>
                    <a:r>
                      <a:rPr lang="tr-TR" sz="1050" b="1" i="0" baseline="0" dirty="0" smtClean="0">
                        <a:solidFill>
                          <a:schemeClr val="accent2">
                            <a:lumMod val="75000"/>
                          </a:schemeClr>
                        </a:solidFill>
                        <a:effectLst/>
                      </a:rPr>
                      <a:t>% 53</a:t>
                    </a:r>
                    <a:endParaRPr lang="tr-TR" sz="1050" b="1" dirty="0" smtClean="0">
                      <a:solidFill>
                        <a:schemeClr val="accent2">
                          <a:lumMod val="75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60B5CC">
                            <a:lumMod val="50000"/>
                          </a:srgbClr>
                        </a:solidFill>
                        <a:latin typeface="+mn-lt"/>
                        <a:ea typeface="+mn-ea"/>
                        <a:cs typeface="+mn-cs"/>
                      </a:defRPr>
                    </a:pPr>
                    <a:r>
                      <a:rPr lang="tr-TR" sz="1050" dirty="0" smtClean="0">
                        <a:solidFill>
                          <a:schemeClr val="accent2">
                            <a:lumMod val="75000"/>
                          </a:schemeClr>
                        </a:solidFill>
                      </a:rPr>
                      <a:t>30 milyon</a:t>
                    </a:r>
                    <a:endParaRPr lang="tr-TR" sz="1600" dirty="0" smtClean="0">
                      <a:solidFill>
                        <a:schemeClr val="accent2">
                          <a:lumMod val="75000"/>
                        </a:schemeClr>
                      </a:solidFill>
                    </a:endParaRPr>
                  </a:p>
                </c:rich>
              </c:tx>
              <c:spPr/>
              <c:showLegendKey val="0"/>
              <c:showVal val="1"/>
              <c:showCatName val="0"/>
              <c:showSerName val="0"/>
              <c:showPercent val="0"/>
              <c:showBubbleSize val="0"/>
            </c:dLbl>
            <c:dLbl>
              <c:idx val="2"/>
              <c:layout>
                <c:manualLayout>
                  <c:x val="-1.7352639532498628E-2"/>
                  <c:y val="-1.68414934292381E-3"/>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C64847">
                            <a:lumMod val="75000"/>
                          </a:srgbClr>
                        </a:solidFill>
                        <a:latin typeface="+mn-lt"/>
                        <a:ea typeface="+mn-ea"/>
                        <a:cs typeface="+mn-cs"/>
                      </a:defRPr>
                    </a:pPr>
                    <a:r>
                      <a:rPr lang="tr-TR" sz="1050" b="1" i="0" baseline="0" dirty="0" smtClean="0">
                        <a:solidFill>
                          <a:schemeClr val="accent3">
                            <a:lumMod val="75000"/>
                          </a:schemeClr>
                        </a:solidFill>
                        <a:effectLst/>
                      </a:rPr>
                      <a:t>% 14</a:t>
                    </a:r>
                    <a:endParaRPr lang="tr-TR" sz="1050" b="1" dirty="0" smtClean="0">
                      <a:solidFill>
                        <a:schemeClr val="accent3">
                          <a:lumMod val="75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C64847">
                            <a:lumMod val="75000"/>
                          </a:srgbClr>
                        </a:solidFill>
                        <a:latin typeface="+mn-lt"/>
                        <a:ea typeface="+mn-ea"/>
                        <a:cs typeface="+mn-cs"/>
                      </a:defRPr>
                    </a:pPr>
                    <a:r>
                      <a:rPr lang="tr-TR" sz="1050" dirty="0" smtClean="0">
                        <a:solidFill>
                          <a:schemeClr val="accent3">
                            <a:lumMod val="75000"/>
                          </a:schemeClr>
                        </a:solidFill>
                      </a:rPr>
                      <a:t>8 milyon</a:t>
                    </a:r>
                    <a:endParaRPr lang="tr-TR" sz="1600" dirty="0" smtClean="0">
                      <a:solidFill>
                        <a:schemeClr val="accent3">
                          <a:lumMod val="75000"/>
                        </a:schemeClr>
                      </a:solidFill>
                    </a:endParaRPr>
                  </a:p>
                </c:rich>
              </c:tx>
              <c:spPr/>
              <c:showLegendKey val="0"/>
              <c:showVal val="1"/>
              <c:showCatName val="0"/>
              <c:showSerName val="0"/>
              <c:showPercent val="0"/>
              <c:showBubbleSize val="0"/>
            </c:dLbl>
            <c:dLbl>
              <c:idx val="3"/>
              <c:layout>
                <c:manualLayout>
                  <c:x val="-2.8932340395249636E-2"/>
                  <c:y val="1.402464830304516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6BB76D">
                            <a:lumMod val="75000"/>
                          </a:srgbClr>
                        </a:solidFill>
                        <a:latin typeface="+mn-lt"/>
                        <a:ea typeface="+mn-ea"/>
                        <a:cs typeface="+mn-cs"/>
                      </a:defRPr>
                    </a:pPr>
                    <a:r>
                      <a:rPr lang="tr-TR" sz="1050" b="1" i="0" baseline="0" dirty="0" smtClean="0">
                        <a:solidFill>
                          <a:schemeClr val="accent4">
                            <a:lumMod val="75000"/>
                          </a:schemeClr>
                        </a:solidFill>
                        <a:effectLst/>
                      </a:rPr>
                      <a:t>%9</a:t>
                    </a:r>
                    <a:endParaRPr lang="tr-TR" sz="1050" b="1" dirty="0" smtClean="0">
                      <a:solidFill>
                        <a:schemeClr val="accent4">
                          <a:lumMod val="75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rgbClr val="6BB76D">
                            <a:lumMod val="75000"/>
                          </a:srgbClr>
                        </a:solidFill>
                        <a:latin typeface="+mn-lt"/>
                        <a:ea typeface="+mn-ea"/>
                        <a:cs typeface="+mn-cs"/>
                      </a:defRPr>
                    </a:pPr>
                    <a:r>
                      <a:rPr lang="tr-TR" sz="1050" dirty="0" smtClean="0">
                        <a:solidFill>
                          <a:schemeClr val="accent4">
                            <a:lumMod val="75000"/>
                          </a:schemeClr>
                        </a:solidFill>
                      </a:rPr>
                      <a:t>5 milyon</a:t>
                    </a:r>
                    <a:endParaRPr lang="tr-TR" sz="1600" dirty="0" smtClean="0">
                      <a:solidFill>
                        <a:schemeClr val="accent4">
                          <a:lumMod val="75000"/>
                        </a:schemeClr>
                      </a:solidFill>
                    </a:endParaRPr>
                  </a:p>
                </c:rich>
              </c:tx>
              <c:spPr/>
              <c:showLegendKey val="0"/>
              <c:showVal val="1"/>
              <c:showCatName val="0"/>
              <c:showSerName val="0"/>
              <c:showPercent val="0"/>
              <c:showBubbleSize val="0"/>
            </c:dLbl>
            <c:txPr>
              <a:bodyPr/>
              <a:lstStyle/>
              <a:p>
                <a:pPr>
                  <a:defRPr sz="1050"/>
                </a:pPr>
                <a:endParaRPr lang="tr-TR"/>
              </a:p>
            </c:txPr>
            <c:showLegendKey val="0"/>
            <c:showVal val="1"/>
            <c:showCatName val="0"/>
            <c:showSerName val="0"/>
            <c:showPercent val="0"/>
            <c:showBubbleSize val="0"/>
            <c:showLeaderLines val="0"/>
          </c:dLbls>
          <c:cat>
            <c:strRef>
              <c:f>Sayfa1!$A$2:$A$5</c:f>
              <c:strCache>
                <c:ptCount val="4"/>
                <c:pt idx="0">
                  <c:v>ITRF</c:v>
                </c:pt>
                <c:pt idx="1">
                  <c:v>ED50</c:v>
                </c:pt>
                <c:pt idx="2">
                  <c:v>LOKAL</c:v>
                </c:pt>
                <c:pt idx="3">
                  <c:v>GRAFİK</c:v>
                </c:pt>
              </c:strCache>
            </c:strRef>
          </c:cat>
          <c:val>
            <c:numRef>
              <c:f>Sayfa1!$B$2:$B$5</c:f>
              <c:numCache>
                <c:formatCode>General</c:formatCode>
                <c:ptCount val="4"/>
                <c:pt idx="0">
                  <c:v>13373399</c:v>
                </c:pt>
                <c:pt idx="1">
                  <c:v>29636927</c:v>
                </c:pt>
                <c:pt idx="2">
                  <c:v>7925825</c:v>
                </c:pt>
                <c:pt idx="3">
                  <c:v>5220101</c:v>
                </c:pt>
              </c:numCache>
            </c:numRef>
          </c:val>
        </c:ser>
        <c:dLbls>
          <c:showLegendKey val="0"/>
          <c:showVal val="0"/>
          <c:showCatName val="0"/>
          <c:showSerName val="0"/>
          <c:showPercent val="0"/>
          <c:showBubbleSize val="0"/>
          <c:showLeaderLines val="0"/>
        </c:dLbls>
      </c:pie3DChart>
    </c:plotArea>
    <c:legend>
      <c:legendPos val="r"/>
      <c:legendEntry>
        <c:idx val="0"/>
        <c:txPr>
          <a:bodyPr/>
          <a:lstStyle/>
          <a:p>
            <a:pPr>
              <a:defRPr sz="1050">
                <a:solidFill>
                  <a:schemeClr val="accent1">
                    <a:lumMod val="50000"/>
                  </a:schemeClr>
                </a:solidFill>
              </a:defRPr>
            </a:pPr>
            <a:endParaRPr lang="tr-TR"/>
          </a:p>
        </c:txPr>
      </c:legendEntry>
      <c:legendEntry>
        <c:idx val="1"/>
        <c:txPr>
          <a:bodyPr/>
          <a:lstStyle/>
          <a:p>
            <a:pPr>
              <a:defRPr sz="1050">
                <a:solidFill>
                  <a:schemeClr val="accent2">
                    <a:lumMod val="50000"/>
                  </a:schemeClr>
                </a:solidFill>
              </a:defRPr>
            </a:pPr>
            <a:endParaRPr lang="tr-TR"/>
          </a:p>
        </c:txPr>
      </c:legendEntry>
      <c:legendEntry>
        <c:idx val="2"/>
        <c:txPr>
          <a:bodyPr/>
          <a:lstStyle/>
          <a:p>
            <a:pPr>
              <a:defRPr sz="1050">
                <a:solidFill>
                  <a:schemeClr val="accent3">
                    <a:lumMod val="50000"/>
                  </a:schemeClr>
                </a:solidFill>
              </a:defRPr>
            </a:pPr>
            <a:endParaRPr lang="tr-TR"/>
          </a:p>
        </c:txPr>
      </c:legendEntry>
      <c:legendEntry>
        <c:idx val="3"/>
        <c:txPr>
          <a:bodyPr/>
          <a:lstStyle/>
          <a:p>
            <a:pPr>
              <a:defRPr sz="1050">
                <a:solidFill>
                  <a:schemeClr val="accent4">
                    <a:lumMod val="50000"/>
                  </a:schemeClr>
                </a:solidFill>
              </a:defRPr>
            </a:pPr>
            <a:endParaRPr lang="tr-TR"/>
          </a:p>
        </c:txPr>
      </c:legendEntry>
      <c:layout>
        <c:manualLayout>
          <c:xMode val="edge"/>
          <c:yMode val="edge"/>
          <c:x val="0.84954304594175489"/>
          <c:y val="0.58497089247927092"/>
          <c:w val="0.13972143191819344"/>
          <c:h val="0.34971055953645935"/>
        </c:manualLayout>
      </c:layout>
      <c:overlay val="0"/>
      <c:txPr>
        <a:bodyPr/>
        <a:lstStyle/>
        <a:p>
          <a:pPr>
            <a:defRPr sz="1050"/>
          </a:pPr>
          <a:endParaRPr lang="tr-TR"/>
        </a:p>
      </c:txPr>
    </c:legend>
    <c:plotVisOnly val="1"/>
    <c:dispBlanksAs val="zero"/>
    <c:showDLblsOverMax val="0"/>
  </c:chart>
  <c:txPr>
    <a:bodyPr/>
    <a:lstStyle/>
    <a:p>
      <a:pPr>
        <a:defRPr sz="1800"/>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TAKBİS</c:v>
                </c:pt>
              </c:strCache>
            </c:strRef>
          </c:tx>
          <c:invertIfNegative val="0"/>
          <c:dLbls>
            <c:txPr>
              <a:bodyPr/>
              <a:lstStyle/>
              <a:p>
                <a:pPr>
                  <a:defRPr>
                    <a:solidFill>
                      <a:schemeClr val="accent1">
                        <a:lumMod val="75000"/>
                      </a:schemeClr>
                    </a:solidFill>
                  </a:defRPr>
                </a:pPr>
                <a:endParaRPr lang="tr-TR"/>
              </a:p>
            </c:txPr>
            <c:showLegendKey val="0"/>
            <c:showVal val="1"/>
            <c:showCatName val="0"/>
            <c:showSerName val="0"/>
            <c:showPercent val="0"/>
            <c:showBubbleSize val="0"/>
            <c:showLeaderLines val="0"/>
          </c:dLbls>
          <c:cat>
            <c:strRef>
              <c:f>Sayfa1!$A$2</c:f>
              <c:strCache>
                <c:ptCount val="1"/>
                <c:pt idx="0">
                  <c:v>Kategori 1</c:v>
                </c:pt>
              </c:strCache>
            </c:strRef>
          </c:cat>
          <c:val>
            <c:numRef>
              <c:f>Sayfa1!$B$2</c:f>
              <c:numCache>
                <c:formatCode>General</c:formatCode>
                <c:ptCount val="1"/>
                <c:pt idx="0">
                  <c:v>0.6000000000000002</c:v>
                </c:pt>
              </c:numCache>
            </c:numRef>
          </c:val>
        </c:ser>
        <c:ser>
          <c:idx val="1"/>
          <c:order val="1"/>
          <c:tx>
            <c:strRef>
              <c:f>Sayfa1!$C$1</c:f>
              <c:strCache>
                <c:ptCount val="1"/>
                <c:pt idx="0">
                  <c:v>UVDF</c:v>
                </c:pt>
              </c:strCache>
            </c:strRef>
          </c:tx>
          <c:invertIfNegative val="0"/>
          <c:dLbls>
            <c:txPr>
              <a:bodyPr/>
              <a:lstStyle/>
              <a:p>
                <a:pPr>
                  <a:defRPr>
                    <a:solidFill>
                      <a:srgbClr val="C00000"/>
                    </a:solidFill>
                  </a:defRPr>
                </a:pPr>
                <a:endParaRPr lang="tr-TR"/>
              </a:p>
            </c:txPr>
            <c:showLegendKey val="0"/>
            <c:showVal val="1"/>
            <c:showCatName val="0"/>
            <c:showSerName val="0"/>
            <c:showPercent val="0"/>
            <c:showBubbleSize val="0"/>
            <c:showLeaderLines val="0"/>
          </c:dLbls>
          <c:cat>
            <c:strRef>
              <c:f>Sayfa1!$A$2</c:f>
              <c:strCache>
                <c:ptCount val="1"/>
                <c:pt idx="0">
                  <c:v>Kategori 1</c:v>
                </c:pt>
              </c:strCache>
            </c:strRef>
          </c:cat>
          <c:val>
            <c:numRef>
              <c:f>Sayfa1!$C$2</c:f>
              <c:numCache>
                <c:formatCode>General</c:formatCode>
                <c:ptCount val="1"/>
                <c:pt idx="0">
                  <c:v>5.6</c:v>
                </c:pt>
              </c:numCache>
            </c:numRef>
          </c:val>
        </c:ser>
        <c:ser>
          <c:idx val="2"/>
          <c:order val="2"/>
          <c:tx>
            <c:strRef>
              <c:f>Sayfa1!$D$1</c:f>
              <c:strCache>
                <c:ptCount val="1"/>
                <c:pt idx="0">
                  <c:v>TRGM</c:v>
                </c:pt>
              </c:strCache>
            </c:strRef>
          </c:tx>
          <c:invertIfNegative val="0"/>
          <c:dLbls>
            <c:txPr>
              <a:bodyPr/>
              <a:lstStyle/>
              <a:p>
                <a:pPr>
                  <a:defRPr>
                    <a:solidFill>
                      <a:schemeClr val="accent3">
                        <a:lumMod val="75000"/>
                      </a:schemeClr>
                    </a:solidFill>
                  </a:defRPr>
                </a:pPr>
                <a:endParaRPr lang="tr-TR"/>
              </a:p>
            </c:txPr>
            <c:showLegendKey val="0"/>
            <c:showVal val="1"/>
            <c:showCatName val="0"/>
            <c:showSerName val="0"/>
            <c:showPercent val="0"/>
            <c:showBubbleSize val="0"/>
            <c:showLeaderLines val="0"/>
          </c:dLbls>
          <c:cat>
            <c:strRef>
              <c:f>Sayfa1!$A$2</c:f>
              <c:strCache>
                <c:ptCount val="1"/>
                <c:pt idx="0">
                  <c:v>Kategori 1</c:v>
                </c:pt>
              </c:strCache>
            </c:strRef>
          </c:cat>
          <c:val>
            <c:numRef>
              <c:f>Sayfa1!$D$2</c:f>
              <c:numCache>
                <c:formatCode>General</c:formatCode>
                <c:ptCount val="1"/>
                <c:pt idx="0">
                  <c:v>10</c:v>
                </c:pt>
              </c:numCache>
            </c:numRef>
          </c:val>
        </c:ser>
        <c:ser>
          <c:idx val="3"/>
          <c:order val="3"/>
          <c:tx>
            <c:strRef>
              <c:f>Sayfa1!$E$1</c:f>
              <c:strCache>
                <c:ptCount val="1"/>
                <c:pt idx="0">
                  <c:v>KM</c:v>
                </c:pt>
              </c:strCache>
            </c:strRef>
          </c:tx>
          <c:invertIfNegative val="0"/>
          <c:dLbls>
            <c:txPr>
              <a:bodyPr/>
              <a:lstStyle/>
              <a:p>
                <a:pPr>
                  <a:defRPr>
                    <a:solidFill>
                      <a:schemeClr val="accent4">
                        <a:lumMod val="50000"/>
                      </a:schemeClr>
                    </a:solidFill>
                  </a:defRPr>
                </a:pPr>
                <a:endParaRPr lang="tr-TR"/>
              </a:p>
            </c:txPr>
            <c:showLegendKey val="0"/>
            <c:showVal val="1"/>
            <c:showCatName val="0"/>
            <c:showSerName val="0"/>
            <c:showPercent val="0"/>
            <c:showBubbleSize val="0"/>
            <c:showLeaderLines val="0"/>
          </c:dLbls>
          <c:cat>
            <c:strRef>
              <c:f>Sayfa1!$A$2</c:f>
              <c:strCache>
                <c:ptCount val="1"/>
                <c:pt idx="0">
                  <c:v>Kategori 1</c:v>
                </c:pt>
              </c:strCache>
            </c:strRef>
          </c:cat>
          <c:val>
            <c:numRef>
              <c:f>Sayfa1!$E$2</c:f>
              <c:numCache>
                <c:formatCode>General</c:formatCode>
                <c:ptCount val="1"/>
                <c:pt idx="0">
                  <c:v>35.6</c:v>
                </c:pt>
              </c:numCache>
            </c:numRef>
          </c:val>
        </c:ser>
        <c:ser>
          <c:idx val="4"/>
          <c:order val="4"/>
          <c:tx>
            <c:strRef>
              <c:f>Sayfa1!$F$1</c:f>
              <c:strCache>
                <c:ptCount val="1"/>
                <c:pt idx="0">
                  <c:v>TOPLAM</c:v>
                </c:pt>
              </c:strCache>
            </c:strRef>
          </c:tx>
          <c:invertIfNegative val="0"/>
          <c:dLbls>
            <c:txPr>
              <a:bodyPr/>
              <a:lstStyle/>
              <a:p>
                <a:pPr>
                  <a:defRPr>
                    <a:solidFill>
                      <a:schemeClr val="accent5">
                        <a:lumMod val="75000"/>
                      </a:schemeClr>
                    </a:solidFill>
                  </a:defRPr>
                </a:pPr>
                <a:endParaRPr lang="tr-TR"/>
              </a:p>
            </c:txPr>
            <c:showLegendKey val="0"/>
            <c:showVal val="1"/>
            <c:showCatName val="0"/>
            <c:showSerName val="0"/>
            <c:showPercent val="0"/>
            <c:showBubbleSize val="0"/>
            <c:showLeaderLines val="0"/>
          </c:dLbls>
          <c:cat>
            <c:strRef>
              <c:f>Sayfa1!$A$2</c:f>
              <c:strCache>
                <c:ptCount val="1"/>
                <c:pt idx="0">
                  <c:v>Kategori 1</c:v>
                </c:pt>
              </c:strCache>
            </c:strRef>
          </c:cat>
          <c:val>
            <c:numRef>
              <c:f>Sayfa1!$F$2</c:f>
              <c:numCache>
                <c:formatCode>General</c:formatCode>
                <c:ptCount val="1"/>
                <c:pt idx="0">
                  <c:v>51.8</c:v>
                </c:pt>
              </c:numCache>
            </c:numRef>
          </c:val>
        </c:ser>
        <c:dLbls>
          <c:showLegendKey val="0"/>
          <c:showVal val="0"/>
          <c:showCatName val="0"/>
          <c:showSerName val="0"/>
          <c:showPercent val="0"/>
          <c:showBubbleSize val="0"/>
        </c:dLbls>
        <c:gapWidth val="150"/>
        <c:axId val="88889600"/>
        <c:axId val="88903680"/>
      </c:barChart>
      <c:catAx>
        <c:axId val="88889600"/>
        <c:scaling>
          <c:orientation val="minMax"/>
        </c:scaling>
        <c:delete val="1"/>
        <c:axPos val="b"/>
        <c:majorTickMark val="out"/>
        <c:minorTickMark val="none"/>
        <c:tickLblPos val="none"/>
        <c:crossAx val="88903680"/>
        <c:crosses val="autoZero"/>
        <c:auto val="1"/>
        <c:lblAlgn val="ctr"/>
        <c:lblOffset val="100"/>
        <c:noMultiLvlLbl val="0"/>
      </c:catAx>
      <c:valAx>
        <c:axId val="88903680"/>
        <c:scaling>
          <c:orientation val="minMax"/>
        </c:scaling>
        <c:delete val="0"/>
        <c:axPos val="l"/>
        <c:majorGridlines/>
        <c:numFmt formatCode="General" sourceLinked="1"/>
        <c:majorTickMark val="out"/>
        <c:minorTickMark val="none"/>
        <c:tickLblPos val="nextTo"/>
        <c:crossAx val="888896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C57B94-C6DC-4E71-96E9-0ED29587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Pages>
  <Words>2001</Words>
  <Characters>11407</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195</cp:revision>
  <cp:lastPrinted>2013-05-03T10:40:00Z</cp:lastPrinted>
  <dcterms:created xsi:type="dcterms:W3CDTF">2013-05-03T06:01:00Z</dcterms:created>
  <dcterms:modified xsi:type="dcterms:W3CDTF">2013-05-06T10:17:00Z</dcterms:modified>
</cp:coreProperties>
</file>